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834C" w14:textId="7C596194" w:rsidR="009A03CF" w:rsidRPr="00AF7A97" w:rsidRDefault="00AF7A97" w:rsidP="00AF7A97">
      <w:pPr>
        <w:spacing w:after="360"/>
        <w:rPr>
          <w:rFonts w:ascii="Arial" w:hAnsi="Arial" w:cs="Arial"/>
          <w:color w:val="7F7F7F" w:themeColor="text1" w:themeTint="80"/>
          <w:sz w:val="20"/>
          <w:szCs w:val="20"/>
        </w:rPr>
      </w:pPr>
      <w:r w:rsidRPr="00AF7A97">
        <w:rPr>
          <w:rFonts w:ascii="Arial" w:hAnsi="Arial" w:cs="Arial"/>
          <w:color w:val="7F7F7F" w:themeColor="text1" w:themeTint="80"/>
          <w:sz w:val="20"/>
          <w:szCs w:val="20"/>
        </w:rPr>
        <w:t>In preparation for an audit the following documents will provide evidence or useful information about the SMS. The tool separates document types according to the SMS part that is most relevant to the content.</w:t>
      </w:r>
    </w:p>
    <w:p w14:paraId="2BC65348" w14:textId="32CC06BD" w:rsidR="00AF7A97" w:rsidRPr="00AF7A97" w:rsidRDefault="00AF7A97" w:rsidP="00AF7A97">
      <w:pPr>
        <w:pStyle w:val="Pa5"/>
        <w:spacing w:after="200" w:line="240" w:lineRule="auto"/>
        <w:rPr>
          <w:rFonts w:ascii="Arial" w:hAnsi="Arial" w:cs="Arial"/>
          <w:color w:val="1F5EA9"/>
          <w:sz w:val="23"/>
          <w:szCs w:val="23"/>
        </w:rPr>
      </w:pPr>
      <w:r w:rsidRPr="00AF7A97">
        <w:rPr>
          <w:rFonts w:ascii="Arial" w:hAnsi="Arial" w:cs="Arial"/>
          <w:b/>
          <w:bCs/>
          <w:color w:val="1F5EA9"/>
          <w:sz w:val="23"/>
          <w:szCs w:val="23"/>
        </w:rPr>
        <w:t>Part 1: Governance &amp; Accountability</w:t>
      </w:r>
    </w:p>
    <w:bookmarkStart w:id="0" w:name="_GoBack"/>
    <w:p w14:paraId="7275B470" w14:textId="473B41E2"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bookmarkStart w:id="1" w:name="Check1"/>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bookmarkEnd w:id="1"/>
      <w:bookmarkEnd w:id="0"/>
      <w:r w:rsidR="00AF7A97" w:rsidRPr="00F43E6A">
        <w:rPr>
          <w:rFonts w:ascii="Arial" w:hAnsi="Arial" w:cs="Arial"/>
          <w:color w:val="1F5EA9"/>
        </w:rPr>
        <w:tab/>
      </w:r>
      <w:r w:rsidR="00AF7A97" w:rsidRPr="00F43E6A">
        <w:rPr>
          <w:rFonts w:ascii="Arial" w:hAnsi="Arial" w:cs="Arial"/>
          <w:color w:val="737272"/>
          <w:sz w:val="20"/>
          <w:szCs w:val="20"/>
        </w:rPr>
        <w:t>Minutes of Board and/or Executive meetings when security issues have been an agenda item for</w:t>
      </w:r>
      <w:r w:rsidR="00AF7A97" w:rsidRPr="00F43E6A">
        <w:rPr>
          <w:rFonts w:ascii="Arial" w:hAnsi="Arial" w:cs="Arial"/>
          <w:color w:val="737272"/>
          <w:sz w:val="20"/>
          <w:szCs w:val="20"/>
        </w:rPr>
        <w:tab/>
        <w:t>discussion and/or decision-making</w:t>
      </w:r>
    </w:p>
    <w:p w14:paraId="2898313D" w14:textId="62B267A0"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Formal communications from the Board and/or Executive to the workforce regarding security </w:t>
      </w:r>
      <w:r w:rsidR="00AF7A97" w:rsidRPr="00F43E6A">
        <w:rPr>
          <w:rFonts w:ascii="Arial" w:hAnsi="Arial" w:cs="Arial"/>
          <w:color w:val="737272"/>
          <w:sz w:val="20"/>
          <w:szCs w:val="20"/>
        </w:rPr>
        <w:tab/>
        <w:t>management</w:t>
      </w:r>
    </w:p>
    <w:p w14:paraId="71A5B112" w14:textId="70EBF731"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Formal communications between the Board and/or Executive and donors regarding security </w:t>
      </w:r>
      <w:r w:rsidR="00AF7A97" w:rsidRPr="00F43E6A">
        <w:rPr>
          <w:rFonts w:ascii="Arial" w:hAnsi="Arial" w:cs="Arial"/>
          <w:color w:val="737272"/>
          <w:sz w:val="20"/>
          <w:szCs w:val="20"/>
        </w:rPr>
        <w:tab/>
        <w:t>management</w:t>
      </w:r>
    </w:p>
    <w:p w14:paraId="7C86FD6A" w14:textId="34B43903"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Codes of Conduct for employees and/or others</w:t>
      </w:r>
    </w:p>
    <w:p w14:paraId="61B4D1B4" w14:textId="12F9606C"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Applicable laws and regulations governing employment, negligence (tort law), health &amp; safety, etc.</w:t>
      </w:r>
    </w:p>
    <w:p w14:paraId="70DDCC84" w14:textId="62E5506D"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National and/or international standards used to inform security management</w:t>
      </w:r>
    </w:p>
    <w:p w14:paraId="07FBD3E6" w14:textId="21404E0F" w:rsidR="00AF7A97" w:rsidRPr="00F43E6A" w:rsidRDefault="00F43E6A" w:rsidP="00AF7A97">
      <w:pPr>
        <w:pStyle w:val="Pa4"/>
        <w:tabs>
          <w:tab w:val="left" w:pos="426"/>
        </w:tabs>
        <w:spacing w:after="360" w:line="240" w:lineRule="auto"/>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Risk management standards (national or international)</w:t>
      </w:r>
    </w:p>
    <w:p w14:paraId="62FCE06A" w14:textId="2B81EF74" w:rsidR="00AF7A97" w:rsidRPr="00F43E6A" w:rsidRDefault="00AF7A97" w:rsidP="00AF7A97">
      <w:pPr>
        <w:pStyle w:val="Pa5"/>
        <w:tabs>
          <w:tab w:val="left" w:pos="426"/>
        </w:tabs>
        <w:spacing w:after="200" w:line="240" w:lineRule="auto"/>
        <w:rPr>
          <w:rFonts w:ascii="Arial" w:hAnsi="Arial" w:cs="Arial"/>
          <w:color w:val="1F5EA9"/>
          <w:sz w:val="23"/>
          <w:szCs w:val="23"/>
        </w:rPr>
      </w:pPr>
      <w:r w:rsidRPr="00F43E6A">
        <w:rPr>
          <w:rFonts w:ascii="Arial" w:hAnsi="Arial" w:cs="Arial"/>
          <w:b/>
          <w:bCs/>
          <w:color w:val="1F5EA9"/>
          <w:sz w:val="23"/>
          <w:szCs w:val="23"/>
        </w:rPr>
        <w:t>Part 2: Policies</w:t>
      </w:r>
    </w:p>
    <w:p w14:paraId="1A3A35C0" w14:textId="185B661A"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management policies</w:t>
      </w:r>
    </w:p>
    <w:p w14:paraId="462CC82A" w14:textId="17C41BA5"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Crisis management policies</w:t>
      </w:r>
    </w:p>
    <w:p w14:paraId="3F07BCB0" w14:textId="29643031"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Other related policies such as whistle-blowing policy</w:t>
      </w:r>
    </w:p>
    <w:p w14:paraId="26DE8614" w14:textId="2A0CE314"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Personnel policies</w:t>
      </w:r>
    </w:p>
    <w:p w14:paraId="41CA7473" w14:textId="6529FE34"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Procurement policies</w:t>
      </w:r>
    </w:p>
    <w:p w14:paraId="0EE228B0" w14:textId="7E9C355F"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Programme management policies</w:t>
      </w:r>
    </w:p>
    <w:p w14:paraId="153F914D" w14:textId="086F208D" w:rsidR="00AF7A97" w:rsidRPr="00F43E6A" w:rsidRDefault="00F43E6A" w:rsidP="00AF7A97">
      <w:pPr>
        <w:pStyle w:val="Pa4"/>
        <w:tabs>
          <w:tab w:val="left" w:pos="426"/>
        </w:tabs>
        <w:spacing w:after="360" w:line="240" w:lineRule="auto"/>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Other risk management policies</w:t>
      </w:r>
    </w:p>
    <w:p w14:paraId="42B5F4A4" w14:textId="5CD71A42" w:rsidR="00AF7A97" w:rsidRPr="00F43E6A" w:rsidRDefault="00AF7A97" w:rsidP="00AF7A97">
      <w:pPr>
        <w:pStyle w:val="Pa5"/>
        <w:tabs>
          <w:tab w:val="left" w:pos="426"/>
        </w:tabs>
        <w:spacing w:after="200" w:line="240" w:lineRule="auto"/>
        <w:rPr>
          <w:rFonts w:ascii="Arial" w:hAnsi="Arial" w:cs="Arial"/>
          <w:color w:val="1F5EA9"/>
          <w:sz w:val="23"/>
          <w:szCs w:val="23"/>
        </w:rPr>
      </w:pPr>
      <w:r w:rsidRPr="00F43E6A">
        <w:rPr>
          <w:rFonts w:ascii="Arial" w:hAnsi="Arial" w:cs="Arial"/>
          <w:b/>
          <w:bCs/>
          <w:color w:val="1F5EA9"/>
          <w:sz w:val="23"/>
          <w:szCs w:val="23"/>
        </w:rPr>
        <w:t>Part 3: Operations &amp; Programme Management (i.e. plans and procedures)</w:t>
      </w:r>
    </w:p>
    <w:p w14:paraId="5976FDDC" w14:textId="7FFD7C01"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A selection of country-specific security management plans and associated standard operating </w:t>
      </w:r>
      <w:r w:rsidR="00AF7A97" w:rsidRPr="00F43E6A">
        <w:rPr>
          <w:rFonts w:ascii="Arial" w:hAnsi="Arial" w:cs="Arial"/>
          <w:color w:val="737272"/>
          <w:sz w:val="20"/>
          <w:szCs w:val="20"/>
        </w:rPr>
        <w:tab/>
        <w:t>procedures</w:t>
      </w:r>
    </w:p>
    <w:p w14:paraId="44F5C94C" w14:textId="1B137E61"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guidelines</w:t>
      </w:r>
    </w:p>
    <w:p w14:paraId="2F4608D6" w14:textId="1910B92B" w:rsidR="00AF7A97" w:rsidRPr="00F43E6A" w:rsidRDefault="00F43E6A" w:rsidP="00AF7A97">
      <w:pPr>
        <w:tabs>
          <w:tab w:val="left" w:pos="426"/>
        </w:tabs>
        <w:spacing w:after="36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Other related procedural documents such as handbooks, etc.</w:t>
      </w:r>
    </w:p>
    <w:p w14:paraId="17889016" w14:textId="30F2A3A2" w:rsidR="00AF7A97" w:rsidRPr="00F43E6A" w:rsidRDefault="00AF7A97" w:rsidP="005900C0">
      <w:pPr>
        <w:pStyle w:val="Pa5"/>
        <w:spacing w:before="120" w:after="200" w:line="240" w:lineRule="auto"/>
        <w:rPr>
          <w:rFonts w:ascii="Arial" w:hAnsi="Arial" w:cs="Arial"/>
          <w:color w:val="1E5CA9"/>
          <w:sz w:val="23"/>
          <w:szCs w:val="23"/>
        </w:rPr>
      </w:pPr>
      <w:r w:rsidRPr="00F43E6A">
        <w:rPr>
          <w:rFonts w:ascii="Arial" w:hAnsi="Arial" w:cs="Arial"/>
          <w:b/>
          <w:bCs/>
          <w:color w:val="1E5CA9"/>
          <w:sz w:val="23"/>
          <w:szCs w:val="23"/>
        </w:rPr>
        <w:t>Part 4: Information &amp; Knowledge Management</w:t>
      </w:r>
    </w:p>
    <w:p w14:paraId="6D0C5D2D" w14:textId="7500F86F"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Incident reports (for the past 12 months) </w:t>
      </w:r>
      <w:r w:rsidR="005900C0" w:rsidRPr="00F43E6A">
        <w:rPr>
          <w:rFonts w:ascii="Arial" w:hAnsi="Arial" w:cs="Arial"/>
          <w:color w:val="737272"/>
          <w:sz w:val="20"/>
          <w:szCs w:val="20"/>
        </w:rPr>
        <w:t>including ‘near miss’ reporting</w:t>
      </w:r>
    </w:p>
    <w:p w14:paraId="0E5F889A" w14:textId="12B1334E"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Post-incident communications (action items, decisions </w:t>
      </w:r>
      <w:r w:rsidR="005900C0" w:rsidRPr="00F43E6A">
        <w:rPr>
          <w:rFonts w:ascii="Arial" w:hAnsi="Arial" w:cs="Arial"/>
          <w:color w:val="737272"/>
          <w:sz w:val="20"/>
          <w:szCs w:val="20"/>
        </w:rPr>
        <w:t>in response to incidents, etc.)</w:t>
      </w:r>
    </w:p>
    <w:p w14:paraId="02083C2A" w14:textId="0D477EC4"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Formal communications regarding any serious or cr</w:t>
      </w:r>
      <w:r w:rsidR="005900C0" w:rsidRPr="00F43E6A">
        <w:rPr>
          <w:rFonts w:ascii="Arial" w:hAnsi="Arial" w:cs="Arial"/>
          <w:color w:val="737272"/>
          <w:sz w:val="20"/>
          <w:szCs w:val="20"/>
        </w:rPr>
        <w:t>isis incident (start to finish)</w:t>
      </w:r>
    </w:p>
    <w:p w14:paraId="10F8BDED" w14:textId="70C7C540" w:rsidR="00AF7A97" w:rsidRPr="00F43E6A" w:rsidRDefault="00F43E6A" w:rsidP="00AF7A97">
      <w:pPr>
        <w:pStyle w:val="Pa4"/>
        <w:tabs>
          <w:tab w:val="left" w:pos="426"/>
        </w:tabs>
        <w:spacing w:after="360" w:line="240" w:lineRule="auto"/>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Risk </w:t>
      </w:r>
      <w:r w:rsidR="005900C0" w:rsidRPr="00F43E6A">
        <w:rPr>
          <w:rFonts w:ascii="Arial" w:hAnsi="Arial" w:cs="Arial"/>
          <w:color w:val="737272"/>
          <w:sz w:val="20"/>
          <w:szCs w:val="20"/>
        </w:rPr>
        <w:t>assessment tools and guidelines</w:t>
      </w:r>
    </w:p>
    <w:p w14:paraId="319AD616" w14:textId="059591B1" w:rsidR="00AF7A97" w:rsidRPr="00F43E6A" w:rsidRDefault="00AF7A97" w:rsidP="005900C0">
      <w:pPr>
        <w:pStyle w:val="Pa5"/>
        <w:tabs>
          <w:tab w:val="left" w:pos="426"/>
        </w:tabs>
        <w:spacing w:before="120" w:after="200" w:line="240" w:lineRule="auto"/>
        <w:rPr>
          <w:rFonts w:ascii="Arial" w:hAnsi="Arial" w:cs="Arial"/>
          <w:color w:val="1E5CA9"/>
          <w:sz w:val="23"/>
          <w:szCs w:val="23"/>
        </w:rPr>
      </w:pPr>
      <w:r w:rsidRPr="00F43E6A">
        <w:rPr>
          <w:rFonts w:ascii="Arial" w:hAnsi="Arial" w:cs="Arial"/>
          <w:b/>
          <w:bCs/>
          <w:color w:val="1E5CA9"/>
          <w:sz w:val="23"/>
          <w:szCs w:val="23"/>
        </w:rPr>
        <w:t>Part 5: Training &amp; Learning and Development</w:t>
      </w:r>
    </w:p>
    <w:p w14:paraId="1C13E22F" w14:textId="69D97B62"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manage</w:t>
      </w:r>
      <w:r w:rsidR="005900C0" w:rsidRPr="00F43E6A">
        <w:rPr>
          <w:rFonts w:ascii="Arial" w:hAnsi="Arial" w:cs="Arial"/>
          <w:color w:val="737272"/>
          <w:sz w:val="20"/>
          <w:szCs w:val="20"/>
        </w:rPr>
        <w:t>ment training strategy (global)</w:t>
      </w:r>
    </w:p>
    <w:p w14:paraId="41D8F6E5" w14:textId="42237B64"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management training pla</w:t>
      </w:r>
      <w:r w:rsidR="005900C0" w:rsidRPr="00F43E6A">
        <w:rPr>
          <w:rFonts w:ascii="Arial" w:hAnsi="Arial" w:cs="Arial"/>
          <w:color w:val="737272"/>
          <w:sz w:val="20"/>
          <w:szCs w:val="20"/>
        </w:rPr>
        <w:t>ns (regional and country level)</w:t>
      </w:r>
    </w:p>
    <w:p w14:paraId="3B849685" w14:textId="3AAAC362"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Skills &amp;</w:t>
      </w:r>
      <w:r w:rsidR="005900C0" w:rsidRPr="00F43E6A">
        <w:rPr>
          <w:rFonts w:ascii="Arial" w:hAnsi="Arial" w:cs="Arial"/>
          <w:color w:val="737272"/>
          <w:sz w:val="20"/>
          <w:szCs w:val="20"/>
        </w:rPr>
        <w:t xml:space="preserve"> competencies lists or criteria</w:t>
      </w:r>
    </w:p>
    <w:p w14:paraId="688F324C" w14:textId="625B5330"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Information guiding the use of external training providers including ex</w:t>
      </w:r>
      <w:r w:rsidR="005900C0" w:rsidRPr="00F43E6A">
        <w:rPr>
          <w:rFonts w:ascii="Arial" w:hAnsi="Arial" w:cs="Arial"/>
          <w:color w:val="737272"/>
          <w:sz w:val="20"/>
          <w:szCs w:val="20"/>
        </w:rPr>
        <w:t>amples of tenders</w:t>
      </w:r>
    </w:p>
    <w:p w14:paraId="58898079" w14:textId="31ED3F8C"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Inte</w:t>
      </w:r>
      <w:r w:rsidR="005900C0" w:rsidRPr="00F43E6A">
        <w:rPr>
          <w:rFonts w:ascii="Arial" w:hAnsi="Arial" w:cs="Arial"/>
          <w:color w:val="737272"/>
          <w:sz w:val="20"/>
          <w:szCs w:val="20"/>
        </w:rPr>
        <w:t>rnal training programme agendas</w:t>
      </w:r>
    </w:p>
    <w:p w14:paraId="2E128D41" w14:textId="58881021" w:rsidR="00AF7A97" w:rsidRPr="00F43E6A" w:rsidRDefault="00F43E6A" w:rsidP="00AF7A97">
      <w:pPr>
        <w:pStyle w:val="Pa4"/>
        <w:tabs>
          <w:tab w:val="left" w:pos="426"/>
        </w:tabs>
        <w:spacing w:after="360" w:line="240" w:lineRule="auto"/>
        <w:rPr>
          <w:rFonts w:ascii="Arial" w:hAnsi="Arial" w:cs="Arial"/>
          <w:color w:val="737272"/>
          <w:sz w:val="20"/>
          <w:szCs w:val="20"/>
        </w:rPr>
      </w:pPr>
      <w:r w:rsidRPr="00F43E6A">
        <w:rPr>
          <w:rFonts w:ascii="Arial" w:hAnsi="Arial" w:cs="Arial"/>
          <w:color w:val="1F5EA9"/>
          <w:sz w:val="20"/>
          <w:szCs w:val="20"/>
        </w:rPr>
        <w:lastRenderedPageBreak/>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Employee evaluations o</w:t>
      </w:r>
      <w:r w:rsidR="005900C0" w:rsidRPr="00F43E6A">
        <w:rPr>
          <w:rFonts w:ascii="Arial" w:hAnsi="Arial" w:cs="Arial"/>
          <w:color w:val="737272"/>
          <w:sz w:val="20"/>
          <w:szCs w:val="20"/>
        </w:rPr>
        <w:t>f internal or external training</w:t>
      </w:r>
    </w:p>
    <w:p w14:paraId="18C1D4A7" w14:textId="69C5A0A2" w:rsidR="00AF7A97" w:rsidRPr="00F43E6A" w:rsidRDefault="00795FF1" w:rsidP="005900C0">
      <w:pPr>
        <w:pStyle w:val="Pa5"/>
        <w:tabs>
          <w:tab w:val="left" w:pos="426"/>
        </w:tabs>
        <w:spacing w:before="120" w:after="200" w:line="240" w:lineRule="auto"/>
        <w:rPr>
          <w:rFonts w:ascii="Arial" w:hAnsi="Arial" w:cs="Arial"/>
          <w:color w:val="1E5CA9"/>
          <w:sz w:val="23"/>
          <w:szCs w:val="23"/>
        </w:rPr>
      </w:pPr>
      <w:r w:rsidRPr="00F43E6A">
        <w:rPr>
          <w:rFonts w:ascii="Arial" w:hAnsi="Arial" w:cs="Arial"/>
          <w:b/>
          <w:bCs/>
          <w:color w:val="1E5CA9"/>
          <w:sz w:val="23"/>
          <w:szCs w:val="23"/>
        </w:rPr>
        <w:t>Part 6: Resourcing</w:t>
      </w:r>
    </w:p>
    <w:p w14:paraId="5F07BC92" w14:textId="78A8DFD6"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manag</w:t>
      </w:r>
      <w:r w:rsidR="005900C0" w:rsidRPr="00F43E6A">
        <w:rPr>
          <w:rFonts w:ascii="Arial" w:hAnsi="Arial" w:cs="Arial"/>
          <w:color w:val="737272"/>
          <w:sz w:val="20"/>
          <w:szCs w:val="20"/>
        </w:rPr>
        <w:t>ement funding strategy (global)</w:t>
      </w:r>
    </w:p>
    <w:p w14:paraId="46DA05D4" w14:textId="3CAF7887"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5900C0" w:rsidRPr="00F43E6A">
        <w:rPr>
          <w:rFonts w:ascii="Arial" w:hAnsi="Arial" w:cs="Arial"/>
          <w:color w:val="737272"/>
          <w:sz w:val="20"/>
          <w:szCs w:val="20"/>
        </w:rPr>
        <w:t>Security budget/s (global)</w:t>
      </w:r>
    </w:p>
    <w:p w14:paraId="351E7939" w14:textId="23F33957"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Security management funding plans and budgets (reg</w:t>
      </w:r>
      <w:r w:rsidR="005900C0" w:rsidRPr="00F43E6A">
        <w:rPr>
          <w:rFonts w:ascii="Arial" w:hAnsi="Arial" w:cs="Arial"/>
          <w:color w:val="737272"/>
          <w:sz w:val="20"/>
          <w:szCs w:val="20"/>
        </w:rPr>
        <w:t>ional and country level)</w:t>
      </w:r>
    </w:p>
    <w:p w14:paraId="6D1D4610" w14:textId="47EE0C7C"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A selection of programme budge</w:t>
      </w:r>
      <w:r w:rsidR="005900C0" w:rsidRPr="00F43E6A">
        <w:rPr>
          <w:rFonts w:ascii="Arial" w:hAnsi="Arial" w:cs="Arial"/>
          <w:color w:val="737272"/>
          <w:sz w:val="20"/>
          <w:szCs w:val="20"/>
        </w:rPr>
        <w:t>ts (regional and country level)</w:t>
      </w:r>
    </w:p>
    <w:p w14:paraId="1715C329" w14:textId="4360179D"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Job descriptions, employment contracts and terms of references for security managers, security </w:t>
      </w:r>
      <w:r w:rsidR="005900C0" w:rsidRPr="00F43E6A">
        <w:rPr>
          <w:rFonts w:ascii="Arial" w:hAnsi="Arial" w:cs="Arial"/>
          <w:color w:val="737272"/>
          <w:sz w:val="20"/>
          <w:szCs w:val="20"/>
        </w:rPr>
        <w:tab/>
      </w:r>
      <w:r w:rsidR="00AF7A97" w:rsidRPr="00F43E6A">
        <w:rPr>
          <w:rFonts w:ascii="Arial" w:hAnsi="Arial" w:cs="Arial"/>
          <w:color w:val="737272"/>
          <w:sz w:val="20"/>
          <w:szCs w:val="20"/>
        </w:rPr>
        <w:t>adv</w:t>
      </w:r>
      <w:r w:rsidR="005900C0" w:rsidRPr="00F43E6A">
        <w:rPr>
          <w:rFonts w:ascii="Arial" w:hAnsi="Arial" w:cs="Arial"/>
          <w:color w:val="737272"/>
          <w:sz w:val="20"/>
          <w:szCs w:val="20"/>
        </w:rPr>
        <w:t>isors, or security focal points</w:t>
      </w:r>
    </w:p>
    <w:p w14:paraId="38ECAC60" w14:textId="15A80834"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Job descriptions, employment contracts and terms of references for programme directors (regional and </w:t>
      </w:r>
      <w:r w:rsidR="005900C0" w:rsidRPr="00F43E6A">
        <w:rPr>
          <w:rFonts w:ascii="Arial" w:hAnsi="Arial" w:cs="Arial"/>
          <w:color w:val="737272"/>
          <w:sz w:val="20"/>
          <w:szCs w:val="20"/>
        </w:rPr>
        <w:tab/>
        <w:t>country) and programme managers</w:t>
      </w:r>
    </w:p>
    <w:p w14:paraId="6A9DA65B" w14:textId="57EEF7E6"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A selection of programme proposals and accompanying budgets for existing programmes (to show how </w:t>
      </w:r>
      <w:r w:rsidR="005900C0" w:rsidRPr="00F43E6A">
        <w:rPr>
          <w:rFonts w:ascii="Arial" w:hAnsi="Arial" w:cs="Arial"/>
          <w:color w:val="737272"/>
          <w:sz w:val="20"/>
          <w:szCs w:val="20"/>
        </w:rPr>
        <w:tab/>
      </w:r>
      <w:r w:rsidR="00AF7A97" w:rsidRPr="00F43E6A">
        <w:rPr>
          <w:rFonts w:ascii="Arial" w:hAnsi="Arial" w:cs="Arial"/>
          <w:color w:val="737272"/>
          <w:sz w:val="20"/>
          <w:szCs w:val="20"/>
        </w:rPr>
        <w:t>security requirements are included and communicated to donors</w:t>
      </w:r>
      <w:r w:rsidR="005900C0" w:rsidRPr="00F43E6A">
        <w:rPr>
          <w:rFonts w:ascii="Arial" w:hAnsi="Arial" w:cs="Arial"/>
          <w:color w:val="737272"/>
          <w:sz w:val="20"/>
          <w:szCs w:val="20"/>
        </w:rPr>
        <w:t>)</w:t>
      </w:r>
    </w:p>
    <w:p w14:paraId="3D03D5D6" w14:textId="12B2F63B" w:rsidR="00AF7A97" w:rsidRPr="00F43E6A" w:rsidRDefault="00F43E6A" w:rsidP="00AF7A97">
      <w:pPr>
        <w:pStyle w:val="Pa4"/>
        <w:tabs>
          <w:tab w:val="left" w:pos="426"/>
        </w:tabs>
        <w:spacing w:after="360" w:line="240" w:lineRule="auto"/>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A list of present donors and the donor propo</w:t>
      </w:r>
      <w:r w:rsidR="005900C0" w:rsidRPr="00F43E6A">
        <w:rPr>
          <w:rFonts w:ascii="Arial" w:hAnsi="Arial" w:cs="Arial"/>
          <w:color w:val="737272"/>
          <w:sz w:val="20"/>
          <w:szCs w:val="20"/>
        </w:rPr>
        <w:t>sal and/or reporting guidelines</w:t>
      </w:r>
    </w:p>
    <w:p w14:paraId="572F5858" w14:textId="280104DF" w:rsidR="00AF7A97" w:rsidRPr="00F43E6A" w:rsidRDefault="00795FF1" w:rsidP="005900C0">
      <w:pPr>
        <w:pStyle w:val="Pa5"/>
        <w:tabs>
          <w:tab w:val="left" w:pos="426"/>
        </w:tabs>
        <w:spacing w:before="120" w:after="200" w:line="240" w:lineRule="auto"/>
        <w:rPr>
          <w:rFonts w:ascii="Arial" w:hAnsi="Arial" w:cs="Arial"/>
          <w:color w:val="1E5CA9"/>
          <w:sz w:val="23"/>
          <w:szCs w:val="23"/>
        </w:rPr>
      </w:pPr>
      <w:r w:rsidRPr="00F43E6A">
        <w:rPr>
          <w:rFonts w:ascii="Arial" w:hAnsi="Arial" w:cs="Arial"/>
          <w:b/>
          <w:bCs/>
          <w:color w:val="1E5CA9"/>
          <w:sz w:val="23"/>
          <w:szCs w:val="23"/>
        </w:rPr>
        <w:t>Part 7: Monitoring</w:t>
      </w:r>
    </w:p>
    <w:p w14:paraId="4E5D0D7F" w14:textId="27871D29"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Documented processes for security management pe</w:t>
      </w:r>
      <w:r w:rsidR="005900C0" w:rsidRPr="00F43E6A">
        <w:rPr>
          <w:rFonts w:ascii="Arial" w:hAnsi="Arial" w:cs="Arial"/>
          <w:color w:val="737272"/>
          <w:sz w:val="20"/>
          <w:szCs w:val="20"/>
        </w:rPr>
        <w:t>rformance monitoring and review</w:t>
      </w:r>
    </w:p>
    <w:p w14:paraId="62DB9FB2" w14:textId="5F0BF4E7" w:rsidR="00AF7A97" w:rsidRPr="00F43E6A" w:rsidRDefault="00F43E6A" w:rsidP="00AF7A97">
      <w:pPr>
        <w:pStyle w:val="Pa6"/>
        <w:tabs>
          <w:tab w:val="left" w:pos="426"/>
        </w:tabs>
        <w:spacing w:after="20"/>
        <w:rPr>
          <w:rFonts w:ascii="Arial" w:hAnsi="Arial" w:cs="Arial"/>
          <w:color w:val="737272"/>
          <w:sz w:val="20"/>
          <w:szCs w:val="2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 xml:space="preserve">Formal reports and/or communications throughout the management lines regarding security </w:t>
      </w:r>
      <w:r w:rsidR="005900C0" w:rsidRPr="00F43E6A">
        <w:rPr>
          <w:rFonts w:ascii="Arial" w:hAnsi="Arial" w:cs="Arial"/>
          <w:color w:val="737272"/>
          <w:sz w:val="20"/>
          <w:szCs w:val="20"/>
        </w:rPr>
        <w:tab/>
      </w:r>
      <w:r w:rsidR="00AF7A97" w:rsidRPr="00F43E6A">
        <w:rPr>
          <w:rFonts w:ascii="Arial" w:hAnsi="Arial" w:cs="Arial"/>
          <w:color w:val="737272"/>
          <w:sz w:val="20"/>
          <w:szCs w:val="20"/>
        </w:rPr>
        <w:t>manageme</w:t>
      </w:r>
      <w:r w:rsidR="005900C0" w:rsidRPr="00F43E6A">
        <w:rPr>
          <w:rFonts w:ascii="Arial" w:hAnsi="Arial" w:cs="Arial"/>
          <w:color w:val="737272"/>
          <w:sz w:val="20"/>
          <w:szCs w:val="20"/>
        </w:rPr>
        <w:t>nt performance (organisational)</w:t>
      </w:r>
    </w:p>
    <w:p w14:paraId="1BBFB328" w14:textId="20FF8C58" w:rsidR="00AF7A97" w:rsidRPr="00AF7A97" w:rsidRDefault="00F43E6A" w:rsidP="00AF7A97">
      <w:pPr>
        <w:tabs>
          <w:tab w:val="left" w:pos="426"/>
        </w:tabs>
        <w:rPr>
          <w:rFonts w:ascii="Arial" w:hAnsi="Arial" w:cs="Arial"/>
          <w:color w:val="7F7F7F" w:themeColor="text1" w:themeTint="80"/>
        </w:rPr>
      </w:pPr>
      <w:r w:rsidRPr="00F43E6A">
        <w:rPr>
          <w:rFonts w:ascii="Arial" w:hAnsi="Arial" w:cs="Arial"/>
          <w:color w:val="1F5EA9"/>
          <w:sz w:val="20"/>
          <w:szCs w:val="20"/>
        </w:rPr>
        <w:fldChar w:fldCharType="begin">
          <w:ffData>
            <w:name w:val="Check1"/>
            <w:enabled/>
            <w:calcOnExit w:val="0"/>
            <w:checkBox>
              <w:sizeAuto/>
              <w:default w:val="0"/>
            </w:checkBox>
          </w:ffData>
        </w:fldChar>
      </w:r>
      <w:r w:rsidRPr="00F43E6A">
        <w:rPr>
          <w:rFonts w:ascii="Arial" w:hAnsi="Arial" w:cs="Arial"/>
          <w:color w:val="1F5EA9"/>
          <w:sz w:val="20"/>
          <w:szCs w:val="20"/>
        </w:rPr>
        <w:instrText xml:space="preserve"> FORMCHECKBOX </w:instrText>
      </w:r>
      <w:r w:rsidRPr="00F43E6A">
        <w:rPr>
          <w:rFonts w:ascii="Arial" w:hAnsi="Arial" w:cs="Arial"/>
          <w:color w:val="1F5EA9"/>
          <w:sz w:val="20"/>
          <w:szCs w:val="20"/>
        </w:rPr>
      </w:r>
      <w:r w:rsidRPr="00F43E6A">
        <w:rPr>
          <w:rFonts w:ascii="Arial" w:hAnsi="Arial" w:cs="Arial"/>
          <w:color w:val="1F5EA9"/>
          <w:sz w:val="20"/>
          <w:szCs w:val="20"/>
        </w:rPr>
        <w:fldChar w:fldCharType="end"/>
      </w:r>
      <w:r w:rsidRPr="00F43E6A">
        <w:rPr>
          <w:rFonts w:ascii="Arial" w:hAnsi="Arial" w:cs="Arial"/>
          <w:color w:val="1F5EA9"/>
        </w:rPr>
        <w:tab/>
      </w:r>
      <w:r w:rsidR="00AF7A97" w:rsidRPr="00F43E6A">
        <w:rPr>
          <w:rFonts w:ascii="Arial" w:hAnsi="Arial" w:cs="Arial"/>
          <w:color w:val="737272"/>
          <w:sz w:val="20"/>
          <w:szCs w:val="20"/>
        </w:rPr>
        <w:t>Documented examples of previous security</w:t>
      </w:r>
      <w:r w:rsidR="00AF7A97" w:rsidRPr="00AF7A97">
        <w:rPr>
          <w:rFonts w:ascii="Arial" w:hAnsi="Arial" w:cs="Arial"/>
          <w:color w:val="737272"/>
          <w:sz w:val="20"/>
          <w:szCs w:val="20"/>
        </w:rPr>
        <w:t xml:space="preserve"> reviews, audits or evaluations</w:t>
      </w:r>
    </w:p>
    <w:sectPr w:rsidR="00AF7A97" w:rsidRPr="00AF7A97" w:rsidSect="00EE4713">
      <w:headerReference w:type="default" r:id="rId9"/>
      <w:footerReference w:type="even" r:id="rId10"/>
      <w:footerReference w:type="default" r:id="rId11"/>
      <w:headerReference w:type="first" r:id="rId12"/>
      <w:footerReference w:type="first" r:id="rId13"/>
      <w:pgSz w:w="11899" w:h="16838"/>
      <w:pgMar w:top="1440" w:right="1080" w:bottom="1276" w:left="1080" w:header="709" w:footer="44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AF7A97" w:rsidRDefault="00AF7A97">
      <w:r>
        <w:separator/>
      </w:r>
    </w:p>
  </w:endnote>
  <w:endnote w:type="continuationSeparator" w:id="0">
    <w:p w14:paraId="6ED2C300" w14:textId="77777777" w:rsidR="00AF7A97" w:rsidRDefault="00A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VAG Rounded Std Thi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5EA9"/>
        <w:sz w:val="20"/>
        <w:szCs w:val="20"/>
      </w:rPr>
      <w:id w:val="-1211029760"/>
      <w:docPartObj>
        <w:docPartGallery w:val="Page Numbers (Bottom of Page)"/>
        <w:docPartUnique/>
      </w:docPartObj>
    </w:sdtPr>
    <w:sdtEndPr/>
    <w:sdtContent>
      <w:sdt>
        <w:sdtPr>
          <w:rPr>
            <w:rFonts w:ascii="Arial" w:hAnsi="Arial" w:cs="Arial"/>
            <w:color w:val="1F5EA9"/>
            <w:sz w:val="20"/>
            <w:szCs w:val="20"/>
          </w:rPr>
          <w:id w:val="2076011270"/>
          <w:docPartObj>
            <w:docPartGallery w:val="Page Numbers (Top of Page)"/>
            <w:docPartUnique/>
          </w:docPartObj>
        </w:sdtPr>
        <w:sdtEndPr/>
        <w:sdtContent>
          <w:p w14:paraId="68E1AA0B" w14:textId="77777777" w:rsidR="00AF7A97" w:rsidRPr="005900C0" w:rsidRDefault="00AF7A97" w:rsidP="00EE4713">
            <w:pPr>
              <w:pStyle w:val="Footer"/>
              <w:tabs>
                <w:tab w:val="clear" w:pos="4320"/>
                <w:tab w:val="clear" w:pos="8640"/>
                <w:tab w:val="right" w:pos="9739"/>
              </w:tabs>
              <w:rPr>
                <w:rFonts w:ascii="Arial" w:hAnsi="Arial" w:cs="Arial"/>
                <w:i/>
                <w:color w:val="1F5EA9"/>
                <w:sz w:val="20"/>
                <w:szCs w:val="20"/>
              </w:rPr>
            </w:pPr>
            <w:r w:rsidRPr="005900C0">
              <w:rPr>
                <w:rFonts w:ascii="Arial" w:hAnsi="Arial" w:cs="Arial"/>
                <w:i/>
                <w:color w:val="1F5EA9"/>
                <w:sz w:val="20"/>
                <w:szCs w:val="20"/>
              </w:rPr>
              <w:t xml:space="preserve">Based on source material available at </w:t>
            </w:r>
            <w:hyperlink r:id="rId1" w:history="1">
              <w:r w:rsidRPr="005900C0">
                <w:rPr>
                  <w:rStyle w:val="Hyperlink"/>
                  <w:rFonts w:ascii="Arial" w:hAnsi="Arial" w:cs="Arial"/>
                  <w:i/>
                  <w:color w:val="1F5EA9"/>
                  <w:sz w:val="20"/>
                  <w:szCs w:val="20"/>
                  <w:u w:val="none"/>
                </w:rPr>
                <w:t>www.eisf.eu</w:t>
              </w:r>
            </w:hyperlink>
            <w:r w:rsidRPr="005900C0">
              <w:rPr>
                <w:rFonts w:ascii="Arial" w:hAnsi="Arial" w:cs="Arial"/>
                <w:i/>
                <w:color w:val="1F5EA9"/>
                <w:sz w:val="20"/>
                <w:szCs w:val="20"/>
              </w:rPr>
              <w:tab/>
            </w:r>
            <w:r w:rsidRPr="005900C0">
              <w:rPr>
                <w:rFonts w:ascii="Arial" w:hAnsi="Arial" w:cs="Arial"/>
                <w:color w:val="1F5EA9"/>
                <w:sz w:val="20"/>
                <w:szCs w:val="20"/>
              </w:rPr>
              <w:t xml:space="preserve">Page </w:t>
            </w:r>
            <w:r w:rsidRPr="005900C0">
              <w:rPr>
                <w:rFonts w:ascii="Arial" w:hAnsi="Arial" w:cs="Arial"/>
                <w:bCs/>
                <w:color w:val="1F5EA9"/>
                <w:sz w:val="20"/>
                <w:szCs w:val="20"/>
              </w:rPr>
              <w:fldChar w:fldCharType="begin"/>
            </w:r>
            <w:r w:rsidRPr="005900C0">
              <w:rPr>
                <w:rFonts w:ascii="Arial" w:hAnsi="Arial" w:cs="Arial"/>
                <w:bCs/>
                <w:color w:val="1F5EA9"/>
                <w:sz w:val="20"/>
                <w:szCs w:val="20"/>
              </w:rPr>
              <w:instrText xml:space="preserve"> PAGE </w:instrText>
            </w:r>
            <w:r w:rsidRPr="005900C0">
              <w:rPr>
                <w:rFonts w:ascii="Arial" w:hAnsi="Arial" w:cs="Arial"/>
                <w:bCs/>
                <w:color w:val="1F5EA9"/>
                <w:sz w:val="20"/>
                <w:szCs w:val="20"/>
              </w:rPr>
              <w:fldChar w:fldCharType="separate"/>
            </w:r>
            <w:r w:rsidR="00F43E6A">
              <w:rPr>
                <w:rFonts w:ascii="Arial" w:hAnsi="Arial" w:cs="Arial"/>
                <w:bCs/>
                <w:noProof/>
                <w:color w:val="1F5EA9"/>
                <w:sz w:val="20"/>
                <w:szCs w:val="20"/>
              </w:rPr>
              <w:t>2</w:t>
            </w:r>
            <w:r w:rsidRPr="005900C0">
              <w:rPr>
                <w:rFonts w:ascii="Arial" w:hAnsi="Arial" w:cs="Arial"/>
                <w:bCs/>
                <w:color w:val="1F5EA9"/>
                <w:sz w:val="20"/>
                <w:szCs w:val="20"/>
              </w:rPr>
              <w:fldChar w:fldCharType="end"/>
            </w:r>
            <w:r w:rsidRPr="005900C0">
              <w:rPr>
                <w:rFonts w:ascii="Arial" w:hAnsi="Arial" w:cs="Arial"/>
                <w:color w:val="1F5EA9"/>
                <w:sz w:val="20"/>
                <w:szCs w:val="20"/>
              </w:rPr>
              <w:t xml:space="preserve"> of </w:t>
            </w:r>
            <w:r w:rsidRPr="005900C0">
              <w:rPr>
                <w:rFonts w:ascii="Arial" w:hAnsi="Arial" w:cs="Arial"/>
                <w:bCs/>
                <w:color w:val="1F5EA9"/>
                <w:sz w:val="20"/>
                <w:szCs w:val="20"/>
              </w:rPr>
              <w:fldChar w:fldCharType="begin"/>
            </w:r>
            <w:r w:rsidRPr="005900C0">
              <w:rPr>
                <w:rFonts w:ascii="Arial" w:hAnsi="Arial" w:cs="Arial"/>
                <w:bCs/>
                <w:color w:val="1F5EA9"/>
                <w:sz w:val="20"/>
                <w:szCs w:val="20"/>
              </w:rPr>
              <w:instrText xml:space="preserve"> NUMPAGES  </w:instrText>
            </w:r>
            <w:r w:rsidRPr="005900C0">
              <w:rPr>
                <w:rFonts w:ascii="Arial" w:hAnsi="Arial" w:cs="Arial"/>
                <w:bCs/>
                <w:color w:val="1F5EA9"/>
                <w:sz w:val="20"/>
                <w:szCs w:val="20"/>
              </w:rPr>
              <w:fldChar w:fldCharType="separate"/>
            </w:r>
            <w:r w:rsidR="00F43E6A">
              <w:rPr>
                <w:rFonts w:ascii="Arial" w:hAnsi="Arial" w:cs="Arial"/>
                <w:bCs/>
                <w:noProof/>
                <w:color w:val="1F5EA9"/>
                <w:sz w:val="20"/>
                <w:szCs w:val="20"/>
              </w:rPr>
              <w:t>2</w:t>
            </w:r>
            <w:r w:rsidRPr="005900C0">
              <w:rPr>
                <w:rFonts w:ascii="Arial" w:hAnsi="Arial" w:cs="Arial"/>
                <w:bCs/>
                <w:color w:val="1F5EA9"/>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EndPr/>
    <w:sdtContent>
      <w:sdt>
        <w:sdtPr>
          <w:rPr>
            <w:rFonts w:ascii="Arial" w:hAnsi="Arial" w:cs="Arial"/>
            <w:color w:val="009FE3"/>
            <w:sz w:val="20"/>
            <w:szCs w:val="20"/>
          </w:rPr>
          <w:id w:val="-1540894606"/>
          <w:docPartObj>
            <w:docPartGallery w:val="Page Numbers (Top of Page)"/>
            <w:docPartUnique/>
          </w:docPartObj>
        </w:sdtPr>
        <w:sdtEndPr/>
        <w:sdtContent>
          <w:p w14:paraId="63935707" w14:textId="77777777" w:rsidR="00AF7A97" w:rsidRPr="00EE4713" w:rsidRDefault="00AF7A97"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795FF1">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795FF1">
              <w:rPr>
                <w:rFonts w:ascii="Arial" w:hAnsi="Arial" w:cs="Arial"/>
                <w:bCs/>
                <w:noProof/>
                <w:color w:val="009FE3"/>
                <w:sz w:val="20"/>
                <w:szCs w:val="20"/>
              </w:rPr>
              <w:t>3</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5EA9"/>
        <w:sz w:val="20"/>
        <w:szCs w:val="20"/>
      </w:rPr>
      <w:id w:val="-2023081981"/>
      <w:docPartObj>
        <w:docPartGallery w:val="Page Numbers (Bottom of Page)"/>
        <w:docPartUnique/>
      </w:docPartObj>
    </w:sdtPr>
    <w:sdtEndPr/>
    <w:sdtContent>
      <w:sdt>
        <w:sdtPr>
          <w:rPr>
            <w:rFonts w:ascii="Arial" w:hAnsi="Arial" w:cs="Arial"/>
            <w:color w:val="1F5EA9"/>
            <w:sz w:val="20"/>
            <w:szCs w:val="20"/>
          </w:rPr>
          <w:id w:val="767813740"/>
          <w:docPartObj>
            <w:docPartGallery w:val="Page Numbers (Top of Page)"/>
            <w:docPartUnique/>
          </w:docPartObj>
        </w:sdtPr>
        <w:sdtEndPr/>
        <w:sdtContent>
          <w:p w14:paraId="0078224E" w14:textId="77777777" w:rsidR="00AF7A97" w:rsidRPr="00B34752" w:rsidRDefault="00AF7A97" w:rsidP="00EE4713">
            <w:pPr>
              <w:pStyle w:val="Footer"/>
              <w:tabs>
                <w:tab w:val="clear" w:pos="4320"/>
                <w:tab w:val="clear" w:pos="8640"/>
                <w:tab w:val="right" w:pos="9739"/>
              </w:tabs>
              <w:rPr>
                <w:rFonts w:ascii="Arial" w:hAnsi="Arial" w:cs="Arial"/>
                <w:i/>
                <w:color w:val="1F5EA9"/>
                <w:sz w:val="20"/>
                <w:szCs w:val="20"/>
              </w:rPr>
            </w:pPr>
            <w:r w:rsidRPr="00B34752">
              <w:rPr>
                <w:rFonts w:ascii="Arial" w:hAnsi="Arial" w:cs="Arial"/>
                <w:i/>
                <w:color w:val="1F5EA9"/>
                <w:sz w:val="20"/>
                <w:szCs w:val="20"/>
              </w:rPr>
              <w:t xml:space="preserve">Based on source material available at </w:t>
            </w:r>
            <w:hyperlink r:id="rId1" w:history="1">
              <w:r w:rsidRPr="00B34752">
                <w:rPr>
                  <w:rStyle w:val="Hyperlink"/>
                  <w:rFonts w:ascii="Arial" w:hAnsi="Arial" w:cs="Arial"/>
                  <w:i/>
                  <w:color w:val="1F5EA9"/>
                  <w:sz w:val="20"/>
                  <w:szCs w:val="20"/>
                  <w:u w:val="none"/>
                </w:rPr>
                <w:t>www.eisf.eu</w:t>
              </w:r>
            </w:hyperlink>
            <w:r w:rsidRPr="00B34752">
              <w:rPr>
                <w:rFonts w:ascii="Arial" w:hAnsi="Arial" w:cs="Arial"/>
                <w:i/>
                <w:color w:val="1F5EA9"/>
                <w:sz w:val="20"/>
                <w:szCs w:val="20"/>
              </w:rPr>
              <w:tab/>
            </w:r>
            <w:r w:rsidRPr="00B34752">
              <w:rPr>
                <w:rFonts w:ascii="Arial" w:hAnsi="Arial" w:cs="Arial"/>
                <w:color w:val="1F5EA9"/>
                <w:sz w:val="20"/>
                <w:szCs w:val="20"/>
              </w:rPr>
              <w:t xml:space="preserve">Page </w:t>
            </w:r>
            <w:r w:rsidRPr="00B34752">
              <w:rPr>
                <w:rFonts w:ascii="Arial" w:hAnsi="Arial" w:cs="Arial"/>
                <w:bCs/>
                <w:color w:val="1F5EA9"/>
                <w:sz w:val="20"/>
                <w:szCs w:val="20"/>
              </w:rPr>
              <w:fldChar w:fldCharType="begin"/>
            </w:r>
            <w:r w:rsidRPr="00B34752">
              <w:rPr>
                <w:rFonts w:ascii="Arial" w:hAnsi="Arial" w:cs="Arial"/>
                <w:bCs/>
                <w:color w:val="1F5EA9"/>
                <w:sz w:val="20"/>
                <w:szCs w:val="20"/>
              </w:rPr>
              <w:instrText xml:space="preserve"> PAGE </w:instrText>
            </w:r>
            <w:r w:rsidRPr="00B34752">
              <w:rPr>
                <w:rFonts w:ascii="Arial" w:hAnsi="Arial" w:cs="Arial"/>
                <w:bCs/>
                <w:color w:val="1F5EA9"/>
                <w:sz w:val="20"/>
                <w:szCs w:val="20"/>
              </w:rPr>
              <w:fldChar w:fldCharType="separate"/>
            </w:r>
            <w:r w:rsidR="00F43E6A">
              <w:rPr>
                <w:rFonts w:ascii="Arial" w:hAnsi="Arial" w:cs="Arial"/>
                <w:bCs/>
                <w:noProof/>
                <w:color w:val="1F5EA9"/>
                <w:sz w:val="20"/>
                <w:szCs w:val="20"/>
              </w:rPr>
              <w:t>1</w:t>
            </w:r>
            <w:r w:rsidRPr="00B34752">
              <w:rPr>
                <w:rFonts w:ascii="Arial" w:hAnsi="Arial" w:cs="Arial"/>
                <w:bCs/>
                <w:color w:val="1F5EA9"/>
                <w:sz w:val="20"/>
                <w:szCs w:val="20"/>
              </w:rPr>
              <w:fldChar w:fldCharType="end"/>
            </w:r>
            <w:r w:rsidRPr="00B34752">
              <w:rPr>
                <w:rFonts w:ascii="Arial" w:hAnsi="Arial" w:cs="Arial"/>
                <w:color w:val="1F5EA9"/>
                <w:sz w:val="20"/>
                <w:szCs w:val="20"/>
              </w:rPr>
              <w:t xml:space="preserve"> of </w:t>
            </w:r>
            <w:r w:rsidRPr="00B34752">
              <w:rPr>
                <w:rFonts w:ascii="Arial" w:hAnsi="Arial" w:cs="Arial"/>
                <w:bCs/>
                <w:color w:val="1F5EA9"/>
                <w:sz w:val="20"/>
                <w:szCs w:val="20"/>
              </w:rPr>
              <w:fldChar w:fldCharType="begin"/>
            </w:r>
            <w:r w:rsidRPr="00B34752">
              <w:rPr>
                <w:rFonts w:ascii="Arial" w:hAnsi="Arial" w:cs="Arial"/>
                <w:bCs/>
                <w:color w:val="1F5EA9"/>
                <w:sz w:val="20"/>
                <w:szCs w:val="20"/>
              </w:rPr>
              <w:instrText xml:space="preserve"> NUMPAGES  </w:instrText>
            </w:r>
            <w:r w:rsidRPr="00B34752">
              <w:rPr>
                <w:rFonts w:ascii="Arial" w:hAnsi="Arial" w:cs="Arial"/>
                <w:bCs/>
                <w:color w:val="1F5EA9"/>
                <w:sz w:val="20"/>
                <w:szCs w:val="20"/>
              </w:rPr>
              <w:fldChar w:fldCharType="separate"/>
            </w:r>
            <w:r w:rsidR="00F43E6A">
              <w:rPr>
                <w:rFonts w:ascii="Arial" w:hAnsi="Arial" w:cs="Arial"/>
                <w:bCs/>
                <w:noProof/>
                <w:color w:val="1F5EA9"/>
                <w:sz w:val="20"/>
                <w:szCs w:val="20"/>
              </w:rPr>
              <w:t>1</w:t>
            </w:r>
            <w:r w:rsidRPr="00B34752">
              <w:rPr>
                <w:rFonts w:ascii="Arial" w:hAnsi="Arial" w:cs="Arial"/>
                <w:bCs/>
                <w:color w:val="1F5EA9"/>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AF7A97" w:rsidRDefault="00AF7A97">
      <w:r>
        <w:separator/>
      </w:r>
    </w:p>
  </w:footnote>
  <w:footnote w:type="continuationSeparator" w:id="0">
    <w:p w14:paraId="15EA113C" w14:textId="77777777" w:rsidR="00AF7A97" w:rsidRDefault="00AF7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6F19" w14:textId="77777777" w:rsidR="00AF7A97" w:rsidRPr="008C2740" w:rsidRDefault="00AF7A97" w:rsidP="009D179A">
    <w:pPr>
      <w:tabs>
        <w:tab w:val="left" w:pos="1701"/>
        <w:tab w:val="left" w:pos="3261"/>
      </w:tabs>
      <w:contextualSpacing/>
      <w:rPr>
        <w:rFonts w:ascii="Arial" w:hAnsi="Arial"/>
        <w:b/>
        <w:color w:val="F39200"/>
        <w:sz w:val="50"/>
      </w:rPr>
    </w:pPr>
    <w:r>
      <w:rPr>
        <w:rFonts w:ascii="Arial" w:hAnsi="Arial"/>
        <w:noProof/>
        <w:sz w:val="50"/>
        <w:lang w:val="en-US"/>
      </w:rPr>
      <w:drawing>
        <wp:anchor distT="0" distB="0" distL="114300" distR="114300" simplePos="0" relativeHeight="251657216" behindDoc="1" locked="0" layoutInCell="1" allowOverlap="1" wp14:anchorId="0D0E6D3F" wp14:editId="7D81C6CD">
          <wp:simplePos x="0" y="0"/>
          <wp:positionH relativeFrom="column">
            <wp:posOffset>-80645</wp:posOffset>
          </wp:positionH>
          <wp:positionV relativeFrom="paragraph">
            <wp:posOffset>1270</wp:posOffset>
          </wp:positionV>
          <wp:extent cx="766445" cy="684530"/>
          <wp:effectExtent l="0" t="0" r="0" b="0"/>
          <wp:wrapNone/>
          <wp:docPr id="5" name="Picture 5" descr="tool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 icon.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
                  <a:stretch>
                    <a:fillRect/>
                  </a:stretch>
                </pic:blipFill>
                <pic:spPr bwMode="auto">
                  <a:xfrm>
                    <a:off x="0" y="0"/>
                    <a:ext cx="76644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740">
      <w:rPr>
        <w:rFonts w:ascii="Arial" w:hAnsi="Arial"/>
        <w:sz w:val="50"/>
      </w:rPr>
      <w:tab/>
    </w:r>
    <w:r w:rsidRPr="008C2740">
      <w:rPr>
        <w:rFonts w:ascii="Arial" w:hAnsi="Arial"/>
        <w:color w:val="F39200"/>
        <w:sz w:val="50"/>
      </w:rPr>
      <w:t xml:space="preserve">Tool </w:t>
    </w:r>
    <w:r>
      <w:rPr>
        <w:rFonts w:ascii="Arial" w:hAnsi="Arial"/>
        <w:color w:val="F39200"/>
        <w:sz w:val="50"/>
      </w:rPr>
      <w:t>2</w:t>
    </w:r>
    <w:r w:rsidRPr="008C2740">
      <w:rPr>
        <w:rFonts w:ascii="Arial" w:hAnsi="Arial"/>
        <w:color w:val="F39200"/>
        <w:sz w:val="50"/>
      </w:rPr>
      <w:tab/>
    </w:r>
    <w:r>
      <w:rPr>
        <w:rFonts w:ascii="Arial" w:hAnsi="Arial"/>
        <w:b/>
        <w:color w:val="F39200"/>
        <w:sz w:val="50"/>
      </w:rPr>
      <w:t>Sample information for</w:t>
    </w:r>
  </w:p>
  <w:p w14:paraId="509C155B" w14:textId="77777777" w:rsidR="00AF7A97" w:rsidRPr="002F2953" w:rsidRDefault="00AF7A97" w:rsidP="009D179A">
    <w:pPr>
      <w:tabs>
        <w:tab w:val="left" w:pos="2127"/>
        <w:tab w:val="left" w:pos="3261"/>
      </w:tabs>
      <w:contextualSpacing/>
      <w:rPr>
        <w:rFonts w:ascii="Arial Bold" w:hAnsi="Arial Bold"/>
        <w:b/>
        <w:color w:val="F39200"/>
        <w:position w:val="22"/>
        <w:sz w:val="18"/>
        <w:vertAlign w:val="superscript"/>
      </w:rPr>
    </w:pPr>
    <w:r w:rsidRPr="008C2740">
      <w:rPr>
        <w:rFonts w:ascii="Arial" w:hAnsi="Arial"/>
        <w:b/>
        <w:color w:val="F39200"/>
        <w:sz w:val="50"/>
      </w:rPr>
      <w:tab/>
    </w:r>
    <w:r w:rsidRPr="008C2740">
      <w:rPr>
        <w:rFonts w:ascii="Arial" w:hAnsi="Arial"/>
        <w:b/>
        <w:color w:val="F39200"/>
        <w:sz w:val="50"/>
      </w:rPr>
      <w:tab/>
    </w:r>
    <w:r>
      <w:rPr>
        <w:rFonts w:ascii="Arial" w:hAnsi="Arial"/>
        <w:b/>
        <w:color w:val="F39200"/>
        <w:sz w:val="50"/>
      </w:rPr>
      <w:t>a personal file</w:t>
    </w:r>
    <w:r w:rsidRPr="002F2953">
      <w:rPr>
        <w:rFonts w:ascii="Arial Bold" w:hAnsi="Arial Bold"/>
        <w:b/>
        <w:color w:val="F39200"/>
        <w:position w:val="22"/>
        <w:sz w:val="18"/>
        <w:vertAlign w:val="superscript"/>
      </w:rPr>
      <w:t xml:space="preserve"> XXV</w:t>
    </w:r>
  </w:p>
  <w:p w14:paraId="0EEC26E4" w14:textId="77777777" w:rsidR="00AF7A97" w:rsidRPr="008C2740" w:rsidRDefault="00AF7A97" w:rsidP="009D179A">
    <w:pPr>
      <w:tabs>
        <w:tab w:val="left" w:pos="2127"/>
        <w:tab w:val="left" w:pos="3402"/>
      </w:tabs>
      <w:contextualSpacing/>
      <w:rPr>
        <w:rFonts w:ascii="Arial" w:hAnsi="Arial"/>
        <w:b/>
        <w:color w:val="F39200"/>
        <w:sz w:val="22"/>
      </w:rPr>
    </w:pPr>
  </w:p>
  <w:p w14:paraId="149CC2B6" w14:textId="77777777" w:rsidR="00AF7A97" w:rsidRDefault="00AF7A97" w:rsidP="009D179A">
    <w:pPr>
      <w:tabs>
        <w:tab w:val="left" w:pos="2127"/>
        <w:tab w:val="left" w:pos="3402"/>
      </w:tabs>
      <w:contextualSpacing/>
      <w:rPr>
        <w:rFonts w:ascii="Arial" w:hAnsi="Arial"/>
        <w:b/>
        <w:color w:val="F39200"/>
        <w:sz w:val="22"/>
      </w:rPr>
    </w:pPr>
  </w:p>
  <w:p w14:paraId="5CE67757" w14:textId="77777777" w:rsidR="00AF7A97" w:rsidRDefault="00AF7A97" w:rsidP="009D179A">
    <w:pPr>
      <w:tabs>
        <w:tab w:val="left" w:pos="2127"/>
        <w:tab w:val="left" w:pos="3402"/>
      </w:tabs>
      <w:contextualSpacing/>
      <w:rPr>
        <w:rFonts w:ascii="Arial" w:hAnsi="Arial"/>
        <w:b/>
        <w:color w:val="F39200"/>
        <w:sz w:val="22"/>
      </w:rPr>
    </w:pPr>
  </w:p>
  <w:p w14:paraId="107D196D" w14:textId="77777777" w:rsidR="00AF7A97" w:rsidRDefault="00AF7A97" w:rsidP="009D179A">
    <w:pPr>
      <w:tabs>
        <w:tab w:val="left" w:pos="2127"/>
        <w:tab w:val="left" w:pos="3402"/>
      </w:tabs>
      <w:contextualSpacing/>
      <w:rPr>
        <w:rFonts w:ascii="Arial" w:hAnsi="Arial"/>
        <w:b/>
        <w:color w:val="F39200"/>
        <w:sz w:val="22"/>
      </w:rPr>
    </w:pPr>
  </w:p>
  <w:p w14:paraId="2A4535C1" w14:textId="77777777" w:rsidR="00AF7A97" w:rsidRDefault="00AF7A97" w:rsidP="009D179A">
    <w:pPr>
      <w:tabs>
        <w:tab w:val="left" w:pos="2127"/>
        <w:tab w:val="left" w:pos="3402"/>
      </w:tabs>
      <w:contextualSpacing/>
      <w:rPr>
        <w:rFonts w:ascii="Arial" w:hAnsi="Arial"/>
        <w:b/>
        <w:color w:val="F39200"/>
        <w:sz w:val="22"/>
      </w:rPr>
    </w:pPr>
  </w:p>
  <w:p w14:paraId="3C2BE7B5" w14:textId="77777777" w:rsidR="00AF7A97" w:rsidRPr="008C2740" w:rsidRDefault="00AF7A97" w:rsidP="009D179A">
    <w:pPr>
      <w:tabs>
        <w:tab w:val="left" w:pos="2127"/>
        <w:tab w:val="left" w:pos="3402"/>
      </w:tabs>
      <w:contextualSpacing/>
      <w:rPr>
        <w:rFonts w:ascii="Arial" w:hAnsi="Arial"/>
        <w:b/>
        <w:color w:val="F3920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5AA" w14:textId="1CFA0E61" w:rsidR="00AF7A97" w:rsidRPr="00F43E6A" w:rsidRDefault="00AF7A97" w:rsidP="0008515E">
    <w:pPr>
      <w:tabs>
        <w:tab w:val="left" w:pos="1560"/>
        <w:tab w:val="left" w:pos="3119"/>
      </w:tabs>
      <w:rPr>
        <w:rFonts w:ascii="Arial" w:hAnsi="Arial" w:cs="Arial"/>
        <w:b/>
        <w:color w:val="1F5EA9"/>
        <w:position w:val="22"/>
        <w:sz w:val="50"/>
        <w:szCs w:val="50"/>
        <w:vertAlign w:val="superscript"/>
      </w:rPr>
    </w:pPr>
    <w:r w:rsidRPr="00B34752">
      <w:rPr>
        <w:noProof/>
        <w:color w:val="1F5EA9"/>
        <w:lang w:val="en-US"/>
      </w:rPr>
      <w:drawing>
        <wp:anchor distT="0" distB="0" distL="114300" distR="114300" simplePos="0" relativeHeight="251660288" behindDoc="1" locked="0" layoutInCell="1" allowOverlap="1" wp14:anchorId="0A7F4A35" wp14:editId="45F3DFD8">
          <wp:simplePos x="0" y="0"/>
          <wp:positionH relativeFrom="column">
            <wp:posOffset>-187325</wp:posOffset>
          </wp:positionH>
          <wp:positionV relativeFrom="paragraph">
            <wp:posOffset>-21590</wp:posOffset>
          </wp:positionV>
          <wp:extent cx="1101725" cy="117876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title graphic.jpg"/>
                  <pic:cNvPicPr/>
                </pic:nvPicPr>
                <pic:blipFill rotWithShape="1">
                  <a:blip r:embed="rId1">
                    <a:extLst>
                      <a:ext uri="{28A0092B-C50C-407E-A947-70E740481C1C}">
                        <a14:useLocalDpi xmlns:a14="http://schemas.microsoft.com/office/drawing/2010/main" val="0"/>
                      </a:ext>
                    </a:extLst>
                  </a:blip>
                  <a:srcRect l="22310" t="18981" r="16439" b="15484"/>
                  <a:stretch/>
                </pic:blipFill>
                <pic:spPr bwMode="auto">
                  <a:xfrm>
                    <a:off x="0" y="0"/>
                    <a:ext cx="1101725" cy="11787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34752">
      <w:rPr>
        <w:rFonts w:ascii="Arial" w:hAnsi="Arial"/>
        <w:color w:val="1F5EA9"/>
        <w:sz w:val="50"/>
      </w:rPr>
      <w:tab/>
    </w:r>
    <w:r>
      <w:rPr>
        <w:rFonts w:ascii="Arial" w:hAnsi="Arial"/>
        <w:color w:val="1F5EA9"/>
        <w:sz w:val="50"/>
        <w:szCs w:val="50"/>
      </w:rPr>
      <w:t>Tool 3</w:t>
    </w:r>
    <w:r w:rsidRPr="00B34752">
      <w:rPr>
        <w:rFonts w:ascii="Arial" w:hAnsi="Arial"/>
        <w:color w:val="1F5EA9"/>
        <w:sz w:val="50"/>
        <w:szCs w:val="50"/>
      </w:rPr>
      <w:br/>
    </w:r>
    <w:r w:rsidRPr="00B34752">
      <w:rPr>
        <w:rFonts w:ascii="Arial" w:hAnsi="Arial"/>
        <w:color w:val="1F5EA9"/>
        <w:sz w:val="50"/>
        <w:szCs w:val="50"/>
      </w:rPr>
      <w:tab/>
    </w:r>
    <w:r>
      <w:rPr>
        <w:rFonts w:ascii="Arial" w:hAnsi="Arial"/>
        <w:b/>
        <w:color w:val="1F5EA9"/>
        <w:sz w:val="50"/>
        <w:szCs w:val="50"/>
      </w:rPr>
      <w:t>Document review checklist</w:t>
    </w:r>
    <w:r w:rsidRPr="00B34752">
      <w:rPr>
        <w:rFonts w:ascii="Arial" w:hAnsi="Arial"/>
        <w:b/>
        <w:color w:val="1F5EA9"/>
        <w:sz w:val="50"/>
        <w:szCs w:val="50"/>
      </w:rPr>
      <w:br/>
    </w:r>
    <w:r w:rsidRPr="00B34752">
      <w:rPr>
        <w:rFonts w:ascii="Arial" w:hAnsi="Arial"/>
        <w:b/>
        <w:color w:val="1F5EA9"/>
        <w:sz w:val="50"/>
        <w:szCs w:val="50"/>
      </w:rPr>
      <w:tab/>
    </w:r>
  </w:p>
  <w:p w14:paraId="29295E7D" w14:textId="77777777" w:rsidR="00AF7A97" w:rsidRPr="00F43E6A" w:rsidRDefault="00AF7A97" w:rsidP="009D179A">
    <w:pPr>
      <w:tabs>
        <w:tab w:val="left" w:pos="2127"/>
        <w:tab w:val="left" w:pos="3402"/>
      </w:tabs>
      <w:rPr>
        <w:rFonts w:ascii="Arial" w:hAnsi="Arial" w:cs="Arial"/>
        <w:color w:val="1F5EA9"/>
        <w:sz w:val="22"/>
        <w:szCs w:val="50"/>
      </w:rPr>
    </w:pPr>
  </w:p>
  <w:p w14:paraId="331AB22F" w14:textId="5D3D8F87" w:rsidR="00AF7A97" w:rsidRPr="00F43E6A" w:rsidRDefault="00AF7A97" w:rsidP="009D179A">
    <w:pPr>
      <w:tabs>
        <w:tab w:val="left" w:pos="2127"/>
        <w:tab w:val="left" w:pos="3402"/>
      </w:tabs>
      <w:rPr>
        <w:rFonts w:ascii="Arial" w:hAnsi="Arial" w:cs="Arial"/>
        <w:color w:val="1F5EA9"/>
        <w:sz w:val="22"/>
        <w:szCs w:val="50"/>
      </w:rPr>
    </w:pPr>
  </w:p>
  <w:p w14:paraId="22328793" w14:textId="77777777" w:rsidR="00AF7A97" w:rsidRPr="00F43E6A" w:rsidRDefault="00AF7A97" w:rsidP="009D179A">
    <w:pPr>
      <w:tabs>
        <w:tab w:val="left" w:pos="2127"/>
        <w:tab w:val="left" w:pos="3402"/>
      </w:tabs>
      <w:rPr>
        <w:rFonts w:ascii="Arial" w:hAnsi="Arial" w:cs="Arial"/>
        <w:color w:val="1F5EA9"/>
        <w:sz w:val="22"/>
        <w:szCs w:val="50"/>
      </w:rPr>
    </w:pPr>
  </w:p>
  <w:p w14:paraId="0787C55B" w14:textId="77777777" w:rsidR="00AF7A97" w:rsidRPr="00F43E6A" w:rsidRDefault="00AF7A97">
    <w:pPr>
      <w:pStyle w:val="Header"/>
      <w:rPr>
        <w:rFonts w:ascii="Arial" w:hAnsi="Arial" w:cs="Arial"/>
        <w:color w:val="1F5EA9"/>
        <w:sz w:val="22"/>
        <w:szCs w:val="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CA20A8"/>
    <w:multiLevelType w:val="hybridMultilevel"/>
    <w:tmpl w:val="5BE0372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10DE1"/>
    <w:multiLevelType w:val="hybridMultilevel"/>
    <w:tmpl w:val="5D1EB45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551AE"/>
    <w:multiLevelType w:val="hybridMultilevel"/>
    <w:tmpl w:val="4372F6AC"/>
    <w:lvl w:ilvl="0" w:tplc="CBBA5C8A">
      <w:start w:val="1"/>
      <w:numFmt w:val="bullet"/>
      <w:lvlText w:val=""/>
      <w:lvlJc w:val="left"/>
      <w:pPr>
        <w:ind w:left="720" w:hanging="360"/>
      </w:pPr>
      <w:rPr>
        <w:rFonts w:ascii="Wingdings" w:hAnsi="Wingdings" w:hint="default"/>
        <w:color w:val="009FE3"/>
        <w:position w:val="-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D1B19"/>
    <w:multiLevelType w:val="hybridMultilevel"/>
    <w:tmpl w:val="3C3632E8"/>
    <w:lvl w:ilvl="0" w:tplc="7F3ED080">
      <w:start w:val="1"/>
      <w:numFmt w:val="bullet"/>
      <w:lvlText w:val=""/>
      <w:lvlJc w:val="left"/>
      <w:pPr>
        <w:ind w:left="720" w:hanging="360"/>
      </w:pPr>
      <w:rPr>
        <w:rFonts w:ascii="Symbol" w:hAnsi="Symbol" w:hint="default"/>
        <w:color w:val="009FE3"/>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CE5C0D"/>
    <w:multiLevelType w:val="multilevel"/>
    <w:tmpl w:val="61207138"/>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8">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9">
    <w:nsid w:val="568D2DF4"/>
    <w:multiLevelType w:val="hybridMultilevel"/>
    <w:tmpl w:val="5B5EA614"/>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1">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7814FF"/>
    <w:multiLevelType w:val="multilevel"/>
    <w:tmpl w:val="5D1EB456"/>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6"/>
  </w:num>
  <w:num w:numId="5">
    <w:abstractNumId w:val="26"/>
  </w:num>
  <w:num w:numId="6">
    <w:abstractNumId w:val="15"/>
  </w:num>
  <w:num w:numId="7">
    <w:abstractNumId w:val="0"/>
  </w:num>
  <w:num w:numId="8">
    <w:abstractNumId w:val="2"/>
  </w:num>
  <w:num w:numId="9">
    <w:abstractNumId w:val="14"/>
  </w:num>
  <w:num w:numId="10">
    <w:abstractNumId w:val="8"/>
  </w:num>
  <w:num w:numId="11">
    <w:abstractNumId w:val="22"/>
  </w:num>
  <w:num w:numId="12">
    <w:abstractNumId w:val="21"/>
  </w:num>
  <w:num w:numId="13">
    <w:abstractNumId w:val="27"/>
  </w:num>
  <w:num w:numId="14">
    <w:abstractNumId w:val="3"/>
  </w:num>
  <w:num w:numId="15">
    <w:abstractNumId w:val="10"/>
  </w:num>
  <w:num w:numId="16">
    <w:abstractNumId w:val="23"/>
  </w:num>
  <w:num w:numId="17">
    <w:abstractNumId w:val="25"/>
  </w:num>
  <w:num w:numId="18">
    <w:abstractNumId w:val="20"/>
  </w:num>
  <w:num w:numId="19">
    <w:abstractNumId w:val="18"/>
  </w:num>
  <w:num w:numId="20">
    <w:abstractNumId w:val="12"/>
  </w:num>
  <w:num w:numId="21">
    <w:abstractNumId w:val="4"/>
  </w:num>
  <w:num w:numId="22">
    <w:abstractNumId w:val="13"/>
  </w:num>
  <w:num w:numId="23">
    <w:abstractNumId w:val="16"/>
  </w:num>
  <w:num w:numId="24">
    <w:abstractNumId w:val="19"/>
  </w:num>
  <w:num w:numId="25">
    <w:abstractNumId w:val="5"/>
  </w:num>
  <w:num w:numId="26">
    <w:abstractNumId w:val="9"/>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US" w:vendorID="64" w:dllVersion="131078" w:nlCheck="1" w:checkStyle="1"/>
  <w:activeWritingStyle w:appName="MSWord" w:lang="en-GB" w:vendorID="64" w:dllVersion="131078" w:nlCheck="1" w:checkStyle="1"/>
  <w:stylePaneSortMethod w:val="0000"/>
  <w:documentProtection w:edit="forms" w:enforcement="1"/>
  <w:defaultTabStop w:val="720"/>
  <w:evenAndOddHeaders/>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548DA"/>
    <w:rsid w:val="0005507E"/>
    <w:rsid w:val="0008515E"/>
    <w:rsid w:val="000B630B"/>
    <w:rsid w:val="000C5C25"/>
    <w:rsid w:val="001229E7"/>
    <w:rsid w:val="0015630B"/>
    <w:rsid w:val="002427A6"/>
    <w:rsid w:val="00257E6B"/>
    <w:rsid w:val="00260847"/>
    <w:rsid w:val="002C6899"/>
    <w:rsid w:val="002F23A7"/>
    <w:rsid w:val="003E2593"/>
    <w:rsid w:val="003E70E9"/>
    <w:rsid w:val="003F1B6D"/>
    <w:rsid w:val="00403B50"/>
    <w:rsid w:val="004571B6"/>
    <w:rsid w:val="004C0A09"/>
    <w:rsid w:val="004C64B1"/>
    <w:rsid w:val="005900C0"/>
    <w:rsid w:val="005936C9"/>
    <w:rsid w:val="00613B4A"/>
    <w:rsid w:val="006848E6"/>
    <w:rsid w:val="00687602"/>
    <w:rsid w:val="006C31D3"/>
    <w:rsid w:val="00732E33"/>
    <w:rsid w:val="00764FCE"/>
    <w:rsid w:val="00766017"/>
    <w:rsid w:val="00795FF1"/>
    <w:rsid w:val="007D07CF"/>
    <w:rsid w:val="0083026E"/>
    <w:rsid w:val="00845C58"/>
    <w:rsid w:val="008733D2"/>
    <w:rsid w:val="008F7078"/>
    <w:rsid w:val="009A03CF"/>
    <w:rsid w:val="009D179A"/>
    <w:rsid w:val="00A11A9E"/>
    <w:rsid w:val="00AB77E1"/>
    <w:rsid w:val="00AF7A97"/>
    <w:rsid w:val="00B06EA0"/>
    <w:rsid w:val="00B34752"/>
    <w:rsid w:val="00C7008B"/>
    <w:rsid w:val="00C80928"/>
    <w:rsid w:val="00D61B4D"/>
    <w:rsid w:val="00DF2AEF"/>
    <w:rsid w:val="00EE4713"/>
    <w:rsid w:val="00F4240C"/>
    <w:rsid w:val="00F43E6A"/>
    <w:rsid w:val="00F553C7"/>
    <w:rsid w:val="00F71B38"/>
    <w:rsid w:val="00FA41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table" w:styleId="TableGrid">
    <w:name w:val="Table Grid"/>
    <w:basedOn w:val="TableNormal"/>
    <w:rsid w:val="0012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7A97"/>
    <w:pPr>
      <w:spacing w:line="241" w:lineRule="atLeast"/>
    </w:pPr>
    <w:rPr>
      <w:rFonts w:cs="Times New Roman"/>
      <w:color w:val="auto"/>
    </w:rPr>
  </w:style>
  <w:style w:type="paragraph" w:customStyle="1" w:styleId="Pa6">
    <w:name w:val="Pa6"/>
    <w:basedOn w:val="Default"/>
    <w:next w:val="Default"/>
    <w:uiPriority w:val="99"/>
    <w:rsid w:val="00AF7A97"/>
    <w:pPr>
      <w:spacing w:line="201" w:lineRule="atLeast"/>
    </w:pPr>
    <w:rPr>
      <w:rFonts w:cs="Times New Roman"/>
      <w:color w:val="auto"/>
    </w:rPr>
  </w:style>
  <w:style w:type="paragraph" w:customStyle="1" w:styleId="Pa4">
    <w:name w:val="Pa4"/>
    <w:basedOn w:val="Default"/>
    <w:next w:val="Default"/>
    <w:uiPriority w:val="99"/>
    <w:rsid w:val="00AF7A97"/>
    <w:pPr>
      <w:spacing w:line="20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table" w:styleId="TableGrid">
    <w:name w:val="Table Grid"/>
    <w:basedOn w:val="TableNormal"/>
    <w:rsid w:val="0012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7A97"/>
    <w:pPr>
      <w:spacing w:line="241" w:lineRule="atLeast"/>
    </w:pPr>
    <w:rPr>
      <w:rFonts w:cs="Times New Roman"/>
      <w:color w:val="auto"/>
    </w:rPr>
  </w:style>
  <w:style w:type="paragraph" w:customStyle="1" w:styleId="Pa6">
    <w:name w:val="Pa6"/>
    <w:basedOn w:val="Default"/>
    <w:next w:val="Default"/>
    <w:uiPriority w:val="99"/>
    <w:rsid w:val="00AF7A97"/>
    <w:pPr>
      <w:spacing w:line="201" w:lineRule="atLeast"/>
    </w:pPr>
    <w:rPr>
      <w:rFonts w:cs="Times New Roman"/>
      <w:color w:val="auto"/>
    </w:rPr>
  </w:style>
  <w:style w:type="paragraph" w:customStyle="1" w:styleId="Pa4">
    <w:name w:val="Pa4"/>
    <w:basedOn w:val="Default"/>
    <w:next w:val="Default"/>
    <w:uiPriority w:val="99"/>
    <w:rsid w:val="00AF7A97"/>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0B65-D355-A544-BDCA-4385D844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3729</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6</cp:revision>
  <cp:lastPrinted>2013-07-25T14:08:00Z</cp:lastPrinted>
  <dcterms:created xsi:type="dcterms:W3CDTF">2013-12-08T15:21:00Z</dcterms:created>
  <dcterms:modified xsi:type="dcterms:W3CDTF">2014-02-06T17:01:00Z</dcterms:modified>
</cp:coreProperties>
</file>