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D6" w:rsidRPr="00C736D6" w:rsidRDefault="00B766C2" w:rsidP="00B766C2">
      <w:pPr>
        <w:autoSpaceDE w:val="0"/>
        <w:autoSpaceDN w:val="0"/>
        <w:adjustRightInd w:val="0"/>
        <w:spacing w:after="120"/>
        <w:rPr>
          <w:rFonts w:ascii="Arial" w:hAnsi="Arial" w:cs="Arial"/>
          <w:color w:val="595959" w:themeColor="text1" w:themeTint="A6"/>
          <w:sz w:val="22"/>
          <w:szCs w:val="22"/>
          <w:lang w:eastAsia="en-GB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eastAsia="en-GB"/>
        </w:rPr>
        <w:t>The exis</w:t>
      </w:r>
      <w:r w:rsidR="00C736D6" w:rsidRPr="00C736D6">
        <w:rPr>
          <w:rFonts w:ascii="Arial" w:hAnsi="Arial" w:cs="Arial"/>
          <w:color w:val="595959" w:themeColor="text1" w:themeTint="A6"/>
          <w:sz w:val="22"/>
          <w:szCs w:val="22"/>
          <w:lang w:eastAsia="en-GB"/>
        </w:rPr>
        <w:t>t</w:t>
      </w:r>
      <w:r>
        <w:rPr>
          <w:rFonts w:ascii="Arial" w:hAnsi="Arial" w:cs="Arial"/>
          <w:color w:val="595959" w:themeColor="text1" w:themeTint="A6"/>
          <w:sz w:val="22"/>
          <w:szCs w:val="22"/>
          <w:lang w:eastAsia="en-GB"/>
        </w:rPr>
        <w:t>ing risk analy</w:t>
      </w:r>
      <w:r w:rsidR="00C736D6" w:rsidRPr="00C736D6">
        <w:rPr>
          <w:rFonts w:ascii="Arial" w:hAnsi="Arial" w:cs="Arial"/>
          <w:color w:val="595959" w:themeColor="text1" w:themeTint="A6"/>
          <w:sz w:val="22"/>
          <w:szCs w:val="22"/>
          <w:lang w:eastAsia="en-GB"/>
        </w:rPr>
        <w:t>sis for a progra</w:t>
      </w:r>
      <w:r>
        <w:rPr>
          <w:rFonts w:ascii="Arial" w:hAnsi="Arial" w:cs="Arial"/>
          <w:color w:val="595959" w:themeColor="text1" w:themeTint="A6"/>
          <w:sz w:val="22"/>
          <w:szCs w:val="22"/>
          <w:lang w:eastAsia="en-GB"/>
        </w:rPr>
        <w:t>mme or office should be re-visi</w:t>
      </w:r>
      <w:r w:rsidR="00C736D6" w:rsidRPr="00C736D6">
        <w:rPr>
          <w:rFonts w:ascii="Arial" w:hAnsi="Arial" w:cs="Arial"/>
          <w:color w:val="595959" w:themeColor="text1" w:themeTint="A6"/>
          <w:sz w:val="22"/>
          <w:szCs w:val="22"/>
          <w:lang w:eastAsia="en-GB"/>
        </w:rPr>
        <w:t>ted at the beginning of, and during closure, to assess whether previous risk analyses are still valid, or need to be updated. The</w:t>
      </w:r>
      <w:r>
        <w:rPr>
          <w:rFonts w:ascii="Arial" w:hAnsi="Arial" w:cs="Arial"/>
          <w:color w:val="595959" w:themeColor="text1" w:themeTint="A6"/>
          <w:sz w:val="22"/>
          <w:szCs w:val="22"/>
          <w:lang w:eastAsia="en-GB"/>
        </w:rPr>
        <w:t xml:space="preserve"> risk analysis should consider:</w:t>
      </w:r>
    </w:p>
    <w:p w:rsidR="00C736D6" w:rsidRPr="00C736D6" w:rsidRDefault="00C736D6" w:rsidP="00B466E6">
      <w:pPr>
        <w:pStyle w:val="GreenBullet2"/>
        <w:numPr>
          <w:ilvl w:val="0"/>
          <w:numId w:val="29"/>
        </w:numPr>
        <w:ind w:left="284" w:hanging="284"/>
        <w:rPr>
          <w:sz w:val="22"/>
          <w:szCs w:val="22"/>
        </w:rPr>
      </w:pPr>
      <w:r w:rsidRPr="00C736D6">
        <w:rPr>
          <w:sz w:val="22"/>
          <w:szCs w:val="22"/>
        </w:rPr>
        <w:t>Risks arising due to the closure</w:t>
      </w:r>
    </w:p>
    <w:p w:rsidR="00C736D6" w:rsidRPr="00C736D6" w:rsidRDefault="00C736D6" w:rsidP="00B466E6">
      <w:pPr>
        <w:pStyle w:val="GreenBullet2"/>
        <w:numPr>
          <w:ilvl w:val="0"/>
          <w:numId w:val="29"/>
        </w:numPr>
        <w:ind w:left="284" w:hanging="284"/>
        <w:rPr>
          <w:sz w:val="22"/>
          <w:szCs w:val="22"/>
        </w:rPr>
      </w:pPr>
      <w:r w:rsidRPr="00C736D6">
        <w:rPr>
          <w:sz w:val="22"/>
          <w:szCs w:val="22"/>
        </w:rPr>
        <w:t>Ris</w:t>
      </w:r>
      <w:bookmarkStart w:id="0" w:name="_GoBack"/>
      <w:bookmarkEnd w:id="0"/>
      <w:r w:rsidRPr="00C736D6">
        <w:rPr>
          <w:sz w:val="22"/>
          <w:szCs w:val="22"/>
        </w:rPr>
        <w:t>ks to the closure operations</w:t>
      </w:r>
    </w:p>
    <w:p w:rsidR="00C736D6" w:rsidRPr="00C736D6" w:rsidRDefault="00C736D6" w:rsidP="00B466E6">
      <w:pPr>
        <w:pStyle w:val="GreenBullet2"/>
        <w:numPr>
          <w:ilvl w:val="0"/>
          <w:numId w:val="29"/>
        </w:numPr>
        <w:ind w:left="284" w:hanging="284"/>
        <w:rPr>
          <w:sz w:val="22"/>
          <w:szCs w:val="22"/>
        </w:rPr>
      </w:pPr>
      <w:r w:rsidRPr="00C736D6">
        <w:rPr>
          <w:sz w:val="22"/>
          <w:szCs w:val="22"/>
        </w:rPr>
        <w:t>Risks to the broader organisation as a result of the closure</w:t>
      </w:r>
    </w:p>
    <w:p w:rsidR="00C736D6" w:rsidRPr="00C736D6" w:rsidRDefault="00C736D6" w:rsidP="00B466E6">
      <w:pPr>
        <w:pStyle w:val="GreenBullet2"/>
        <w:numPr>
          <w:ilvl w:val="0"/>
          <w:numId w:val="29"/>
        </w:numPr>
        <w:spacing w:after="120" w:line="240" w:lineRule="auto"/>
        <w:ind w:left="284" w:hanging="284"/>
      </w:pPr>
      <w:r w:rsidRPr="00C736D6">
        <w:rPr>
          <w:sz w:val="22"/>
          <w:szCs w:val="22"/>
        </w:rPr>
        <w:t>Risks which existed prior to the decision to close the office or programme</w:t>
      </w:r>
    </w:p>
    <w:p w:rsidR="003B6928" w:rsidRDefault="00C736D6" w:rsidP="00B766C2">
      <w:pPr>
        <w:pStyle w:val="ColorfulList-Accent11"/>
        <w:adjustRightInd w:val="0"/>
        <w:ind w:left="0"/>
        <w:contextualSpacing w:val="0"/>
        <w:rPr>
          <w:rFonts w:ascii="Arial" w:hAnsi="Arial" w:cs="Arial"/>
          <w:color w:val="595959" w:themeColor="text1" w:themeTint="A6"/>
          <w:sz w:val="22"/>
          <w:szCs w:val="22"/>
          <w:lang w:eastAsia="en-GB"/>
        </w:rPr>
      </w:pPr>
      <w:r w:rsidRPr="00C736D6">
        <w:rPr>
          <w:rFonts w:ascii="Arial" w:hAnsi="Arial" w:cs="Arial"/>
          <w:color w:val="595959" w:themeColor="text1" w:themeTint="A6"/>
          <w:sz w:val="22"/>
          <w:szCs w:val="22"/>
          <w:lang w:eastAsia="en-GB"/>
        </w:rPr>
        <w:t>Below is an example of a simple risk analysis, using possible risks and indicating the likelihood of them occurring and the impact if they do, usi</w:t>
      </w:r>
      <w:r>
        <w:rPr>
          <w:rFonts w:ascii="Arial" w:hAnsi="Arial" w:cs="Arial"/>
          <w:color w:val="595959" w:themeColor="text1" w:themeTint="A6"/>
          <w:sz w:val="22"/>
          <w:szCs w:val="22"/>
          <w:lang w:eastAsia="en-GB"/>
        </w:rPr>
        <w:t>ng a High, Medium and Low scale.</w:t>
      </w:r>
      <w:r w:rsidRPr="00C736D6">
        <w:rPr>
          <w:rFonts w:ascii="Arial" w:hAnsi="Arial" w:cs="Arial"/>
          <w:color w:val="595959" w:themeColor="text1" w:themeTint="A6"/>
          <w:sz w:val="22"/>
          <w:szCs w:val="22"/>
          <w:lang w:eastAsia="en-GB"/>
        </w:rPr>
        <w:t xml:space="preserve"> Once identified, specific action plans can be developed to minimise each risk.</w:t>
      </w:r>
    </w:p>
    <w:p w:rsidR="005D7AE8" w:rsidRDefault="005D7AE8" w:rsidP="00B766C2">
      <w:pPr>
        <w:pStyle w:val="ColorfulList-Accent11"/>
        <w:adjustRightInd w:val="0"/>
        <w:ind w:left="0"/>
        <w:contextualSpacing w:val="0"/>
        <w:rPr>
          <w:rFonts w:ascii="Arial" w:hAnsi="Arial" w:cs="Arial"/>
          <w:color w:val="595959" w:themeColor="text1" w:themeTint="A6"/>
          <w:sz w:val="22"/>
          <w:szCs w:val="22"/>
          <w:lang w:eastAsia="en-GB"/>
        </w:rPr>
      </w:pPr>
    </w:p>
    <w:tbl>
      <w:tblPr>
        <w:tblStyle w:val="TableGrid"/>
        <w:tblW w:w="9889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056"/>
        <w:gridCol w:w="1236"/>
        <w:gridCol w:w="1272"/>
        <w:gridCol w:w="1273"/>
        <w:gridCol w:w="2052"/>
      </w:tblGrid>
      <w:tr w:rsidR="005D7AE8" w:rsidRPr="005D7AE8" w:rsidTr="00B466E6">
        <w:tc>
          <w:tcPr>
            <w:tcW w:w="4056" w:type="dxa"/>
            <w:shd w:val="clear" w:color="auto" w:fill="DFF5E2"/>
          </w:tcPr>
          <w:p w:rsidR="005D7AE8" w:rsidRPr="005D7AE8" w:rsidRDefault="005D7AE8" w:rsidP="005D7AE8">
            <w:pPr>
              <w:pStyle w:val="Pa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7AE8">
              <w:rPr>
                <w:rStyle w:val="A2"/>
                <w:rFonts w:ascii="Arial" w:hAnsi="Arial" w:cs="Arial"/>
                <w:color w:val="595959" w:themeColor="text1" w:themeTint="A6"/>
                <w:sz w:val="20"/>
                <w:szCs w:val="20"/>
              </w:rPr>
              <w:t>Risk Detail</w:t>
            </w:r>
          </w:p>
        </w:tc>
        <w:tc>
          <w:tcPr>
            <w:tcW w:w="1236" w:type="dxa"/>
            <w:shd w:val="clear" w:color="auto" w:fill="DFF5E2"/>
          </w:tcPr>
          <w:p w:rsidR="005D7AE8" w:rsidRPr="005D7AE8" w:rsidRDefault="005D7AE8" w:rsidP="005D7AE8">
            <w:pPr>
              <w:pStyle w:val="Pa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7AE8">
              <w:rPr>
                <w:rStyle w:val="A2"/>
                <w:rFonts w:ascii="Arial" w:hAnsi="Arial" w:cs="Arial"/>
                <w:color w:val="595959" w:themeColor="text1" w:themeTint="A6"/>
                <w:sz w:val="20"/>
                <w:szCs w:val="20"/>
              </w:rPr>
              <w:t>Likelihood</w:t>
            </w:r>
          </w:p>
        </w:tc>
        <w:tc>
          <w:tcPr>
            <w:tcW w:w="1272" w:type="dxa"/>
            <w:shd w:val="clear" w:color="auto" w:fill="DFF5E2"/>
          </w:tcPr>
          <w:p w:rsidR="005D7AE8" w:rsidRPr="005D7AE8" w:rsidRDefault="005D7AE8" w:rsidP="005D7AE8">
            <w:pPr>
              <w:pStyle w:val="Pa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7AE8">
              <w:rPr>
                <w:rStyle w:val="A2"/>
                <w:rFonts w:ascii="Arial" w:hAnsi="Arial" w:cs="Arial"/>
                <w:color w:val="595959" w:themeColor="text1" w:themeTint="A6"/>
                <w:sz w:val="20"/>
                <w:szCs w:val="20"/>
              </w:rPr>
              <w:t>Impact</w:t>
            </w:r>
          </w:p>
        </w:tc>
        <w:tc>
          <w:tcPr>
            <w:tcW w:w="1273" w:type="dxa"/>
            <w:shd w:val="clear" w:color="auto" w:fill="DFF5E2"/>
          </w:tcPr>
          <w:p w:rsidR="005D7AE8" w:rsidRPr="005D7AE8" w:rsidRDefault="005D7AE8" w:rsidP="005D7AE8">
            <w:pPr>
              <w:pStyle w:val="Pa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7AE8">
              <w:rPr>
                <w:rStyle w:val="A2"/>
                <w:rFonts w:ascii="Arial" w:hAnsi="Arial" w:cs="Arial"/>
                <w:color w:val="595959" w:themeColor="text1" w:themeTint="A6"/>
                <w:sz w:val="20"/>
                <w:szCs w:val="20"/>
              </w:rPr>
              <w:t>Risk category</w:t>
            </w:r>
          </w:p>
        </w:tc>
        <w:tc>
          <w:tcPr>
            <w:tcW w:w="2052" w:type="dxa"/>
            <w:shd w:val="clear" w:color="auto" w:fill="DFF5E2"/>
          </w:tcPr>
          <w:p w:rsidR="005D7AE8" w:rsidRPr="005D7AE8" w:rsidRDefault="005D7AE8" w:rsidP="005D7AE8">
            <w:pPr>
              <w:pStyle w:val="Pa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7AE8">
              <w:rPr>
                <w:rStyle w:val="A2"/>
                <w:rFonts w:ascii="Arial" w:hAnsi="Arial" w:cs="Arial"/>
                <w:color w:val="595959" w:themeColor="text1" w:themeTint="A6"/>
                <w:sz w:val="20"/>
                <w:szCs w:val="20"/>
              </w:rPr>
              <w:t>Mitigation Measures</w:t>
            </w:r>
          </w:p>
        </w:tc>
      </w:tr>
      <w:tr w:rsidR="005D7AE8" w:rsidRPr="005D7AE8" w:rsidTr="00B466E6">
        <w:tc>
          <w:tcPr>
            <w:tcW w:w="9889" w:type="dxa"/>
            <w:gridSpan w:val="5"/>
            <w:shd w:val="clear" w:color="auto" w:fill="DFF5E2"/>
          </w:tcPr>
          <w:p w:rsidR="005D7AE8" w:rsidRPr="005D7AE8" w:rsidRDefault="005D7AE8" w:rsidP="005D7AE8">
            <w:pPr>
              <w:pStyle w:val="Pa7"/>
              <w:spacing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7AE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H </w:t>
            </w:r>
            <w:r w:rsidRPr="005D7AE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= </w:t>
            </w:r>
            <w:r w:rsidRPr="005D7AE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High </w:t>
            </w:r>
            <w:r w:rsidRPr="005D7AE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(catastrophic on project and/or Business)</w:t>
            </w:r>
          </w:p>
          <w:p w:rsidR="005D7AE8" w:rsidRPr="005D7AE8" w:rsidRDefault="005D7AE8" w:rsidP="005D7AE8">
            <w:pPr>
              <w:pStyle w:val="Pa7"/>
              <w:spacing w:after="4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7AE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M </w:t>
            </w:r>
            <w:r w:rsidRPr="005D7AE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= </w:t>
            </w:r>
            <w:r w:rsidRPr="005D7AE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Medium </w:t>
            </w:r>
            <w:r w:rsidRPr="005D7AE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(significant (change to plan required)</w:t>
            </w:r>
          </w:p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D7AE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L </w:t>
            </w:r>
            <w:r w:rsidRPr="005D7AE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= </w:t>
            </w:r>
            <w:r w:rsidRPr="005D7AE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Low </w:t>
            </w:r>
            <w:r w:rsidRPr="005D7AE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(minimal changes)</w:t>
            </w:r>
          </w:p>
        </w:tc>
      </w:tr>
      <w:tr w:rsidR="005D7AE8" w:rsidRPr="005D7AE8" w:rsidTr="00B766C2">
        <w:tc>
          <w:tcPr>
            <w:tcW w:w="4056" w:type="dxa"/>
          </w:tcPr>
          <w:p w:rsidR="005D7AE8" w:rsidRPr="005D7AE8" w:rsidRDefault="005D7AE8" w:rsidP="005D7AE8">
            <w:pPr>
              <w:pStyle w:val="Pa3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7AE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Staff leave earlier than planned, potentially jeopardising programme delivery</w:t>
            </w:r>
          </w:p>
        </w:tc>
        <w:tc>
          <w:tcPr>
            <w:tcW w:w="1236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3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5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D7AE8" w:rsidRPr="005D7AE8" w:rsidTr="00B766C2">
        <w:tc>
          <w:tcPr>
            <w:tcW w:w="4056" w:type="dxa"/>
          </w:tcPr>
          <w:p w:rsidR="005D7AE8" w:rsidRPr="005D7AE8" w:rsidRDefault="005D7AE8" w:rsidP="005D7AE8">
            <w:pPr>
              <w:pStyle w:val="Pa3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7AE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Staff leave whom the organisation wanted to retain</w:t>
            </w:r>
          </w:p>
        </w:tc>
        <w:tc>
          <w:tcPr>
            <w:tcW w:w="1236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3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5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D7AE8" w:rsidRPr="005D7AE8" w:rsidTr="00B766C2">
        <w:tc>
          <w:tcPr>
            <w:tcW w:w="4056" w:type="dxa"/>
          </w:tcPr>
          <w:p w:rsidR="005D7AE8" w:rsidRPr="005D7AE8" w:rsidRDefault="005D7AE8" w:rsidP="005D7AE8">
            <w:pPr>
              <w:pStyle w:val="Pa3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7AE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Reduced staff morale due to uncertainty, which reduces programme impact and effectiveness</w:t>
            </w:r>
          </w:p>
        </w:tc>
        <w:tc>
          <w:tcPr>
            <w:tcW w:w="1236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3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5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D7AE8" w:rsidRPr="005D7AE8" w:rsidTr="00B766C2">
        <w:tc>
          <w:tcPr>
            <w:tcW w:w="4056" w:type="dxa"/>
          </w:tcPr>
          <w:p w:rsidR="005D7AE8" w:rsidRPr="005D7AE8" w:rsidRDefault="005D7AE8" w:rsidP="005D7AE8">
            <w:pPr>
              <w:pStyle w:val="Pa3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7AE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Long-term employee disconnect with the organisation due to poor management of the closure</w:t>
            </w:r>
          </w:p>
        </w:tc>
        <w:tc>
          <w:tcPr>
            <w:tcW w:w="1236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3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5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D7AE8" w:rsidRPr="005D7AE8" w:rsidTr="00B766C2">
        <w:tc>
          <w:tcPr>
            <w:tcW w:w="4056" w:type="dxa"/>
          </w:tcPr>
          <w:p w:rsidR="005D7AE8" w:rsidRPr="005D7AE8" w:rsidRDefault="005D7AE8" w:rsidP="005D7AE8">
            <w:pPr>
              <w:pStyle w:val="Pa3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7AE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Inconsistency in treatment of staff at different locations</w:t>
            </w:r>
          </w:p>
        </w:tc>
        <w:tc>
          <w:tcPr>
            <w:tcW w:w="1236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3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5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D7AE8" w:rsidRPr="005D7AE8" w:rsidTr="00B766C2">
        <w:tc>
          <w:tcPr>
            <w:tcW w:w="4056" w:type="dxa"/>
          </w:tcPr>
          <w:p w:rsidR="005D7AE8" w:rsidRPr="005D7AE8" w:rsidRDefault="005D7AE8" w:rsidP="005D7AE8">
            <w:pPr>
              <w:pStyle w:val="Pa3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7AE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Potential violence and conflict because of decisions to terminate staff</w:t>
            </w:r>
          </w:p>
        </w:tc>
        <w:tc>
          <w:tcPr>
            <w:tcW w:w="1236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3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5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D7AE8" w:rsidRPr="005D7AE8" w:rsidTr="00B766C2">
        <w:tc>
          <w:tcPr>
            <w:tcW w:w="4056" w:type="dxa"/>
          </w:tcPr>
          <w:p w:rsidR="005D7AE8" w:rsidRPr="005D7AE8" w:rsidRDefault="005D7AE8" w:rsidP="005D7AE8">
            <w:pPr>
              <w:pStyle w:val="Pa3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7AE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Conflict with Unions/staff representatives resulting in various industrial disputes and litigation</w:t>
            </w:r>
          </w:p>
        </w:tc>
        <w:tc>
          <w:tcPr>
            <w:tcW w:w="1236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3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5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D7AE8" w:rsidRPr="005D7AE8" w:rsidTr="00B766C2">
        <w:tc>
          <w:tcPr>
            <w:tcW w:w="4056" w:type="dxa"/>
          </w:tcPr>
          <w:p w:rsidR="005D7AE8" w:rsidRPr="00457B5A" w:rsidRDefault="005D7AE8" w:rsidP="00457B5A">
            <w:pPr>
              <w:pStyle w:val="Pa3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7AE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Reputational risk to the organisation as a whole</w:t>
            </w:r>
          </w:p>
        </w:tc>
        <w:tc>
          <w:tcPr>
            <w:tcW w:w="1236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3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5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D7AE8" w:rsidRPr="005D7AE8" w:rsidTr="00B766C2">
        <w:tc>
          <w:tcPr>
            <w:tcW w:w="4056" w:type="dxa"/>
          </w:tcPr>
          <w:p w:rsidR="005D7AE8" w:rsidRPr="00457B5A" w:rsidRDefault="005D7AE8" w:rsidP="00457B5A">
            <w:pPr>
              <w:pStyle w:val="Pa3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7AE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Theft of assets</w:t>
            </w:r>
          </w:p>
        </w:tc>
        <w:tc>
          <w:tcPr>
            <w:tcW w:w="1236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3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5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D7AE8" w:rsidRPr="005D7AE8" w:rsidTr="00B766C2">
        <w:tc>
          <w:tcPr>
            <w:tcW w:w="4056" w:type="dxa"/>
          </w:tcPr>
          <w:p w:rsidR="005D7AE8" w:rsidRPr="00457B5A" w:rsidRDefault="005D7AE8" w:rsidP="00457B5A">
            <w:pPr>
              <w:pStyle w:val="Pa3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5D7AE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Cancellation of operations licence</w:t>
            </w:r>
          </w:p>
        </w:tc>
        <w:tc>
          <w:tcPr>
            <w:tcW w:w="1236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3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52" w:type="dxa"/>
          </w:tcPr>
          <w:p w:rsidR="005D7AE8" w:rsidRPr="005D7AE8" w:rsidRDefault="005D7AE8" w:rsidP="005D7AE8">
            <w:pPr>
              <w:pStyle w:val="ColorfulList-Accent11"/>
              <w:adjustRightInd w:val="0"/>
              <w:ind w:left="0"/>
              <w:contextualSpacing w:val="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457B5A" w:rsidRPr="00C736D6" w:rsidRDefault="00457B5A" w:rsidP="005D7AE8">
      <w:pPr>
        <w:pStyle w:val="ColorfulList-Accent11"/>
        <w:adjustRightInd w:val="0"/>
        <w:ind w:left="0"/>
        <w:contextualSpacing w:val="0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sectPr w:rsidR="00457B5A" w:rsidRPr="00C736D6" w:rsidSect="00B766C2"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080" w:bottom="1134" w:left="993" w:header="709" w:footer="56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94" w:rsidRDefault="007F5194">
      <w:r>
        <w:separator/>
      </w:r>
    </w:p>
  </w:endnote>
  <w:endnote w:type="continuationSeparator" w:id="0">
    <w:p w:rsidR="007F5194" w:rsidRDefault="007F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AG Rounded Std Thin">
    <w:altName w:val="VAG Rounded St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 Rounded Std Light">
    <w:altName w:val="VAG Rounded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12679"/>
      <w:docPartObj>
        <w:docPartGallery w:val="Page Numbers (Bottom of Page)"/>
        <w:docPartUnique/>
      </w:docPartObj>
    </w:sdtPr>
    <w:sdtEndPr>
      <w:rPr>
        <w:rFonts w:ascii="Arial" w:hAnsi="Arial" w:cs="Arial"/>
        <w:color w:val="009900"/>
        <w:sz w:val="20"/>
        <w:szCs w:val="20"/>
      </w:rPr>
    </w:sdtEndPr>
    <w:sdtContent>
      <w:sdt>
        <w:sdtPr>
          <w:rPr>
            <w:rFonts w:ascii="Arial" w:hAnsi="Arial" w:cs="Arial"/>
            <w:color w:val="009900"/>
            <w:sz w:val="20"/>
            <w:szCs w:val="20"/>
          </w:rPr>
          <w:id w:val="-2072950837"/>
          <w:docPartObj>
            <w:docPartGallery w:val="Page Numbers (Top of Page)"/>
            <w:docPartUnique/>
          </w:docPartObj>
        </w:sdtPr>
        <w:sdtEndPr/>
        <w:sdtContent>
          <w:p w:rsidR="00845C58" w:rsidRPr="00445775" w:rsidRDefault="00845C58">
            <w:pPr>
              <w:pStyle w:val="Footer"/>
              <w:jc w:val="right"/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Page </w: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instrText xml:space="preserve"> PAGE </w:instrTex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separate"/>
            </w:r>
            <w:r w:rsidR="00457B5A">
              <w:rPr>
                <w:rFonts w:ascii="Arial" w:hAnsi="Arial" w:cs="Arial"/>
                <w:bCs/>
                <w:noProof/>
                <w:color w:val="009900"/>
                <w:sz w:val="20"/>
                <w:szCs w:val="20"/>
              </w:rPr>
              <w:t>2</w: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end"/>
            </w: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of </w: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instrText xml:space="preserve"> NUMPAGES  </w:instrTex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separate"/>
            </w:r>
            <w:r w:rsidR="00457B5A">
              <w:rPr>
                <w:rFonts w:ascii="Arial" w:hAnsi="Arial" w:cs="Arial"/>
                <w:bCs/>
                <w:noProof/>
                <w:color w:val="009900"/>
                <w:sz w:val="20"/>
                <w:szCs w:val="20"/>
              </w:rPr>
              <w:t>2</w: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end"/>
            </w:r>
          </w:p>
        </w:sdtContent>
      </w:sdt>
    </w:sdtContent>
  </w:sdt>
  <w:p w:rsidR="00845C58" w:rsidRPr="00845C58" w:rsidRDefault="00845C58">
    <w:pPr>
      <w:pStyle w:val="Footer"/>
      <w:rPr>
        <w:rFonts w:ascii="Arial" w:hAnsi="Arial" w:cs="Arial"/>
        <w:color w:val="7030A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287166"/>
      <w:docPartObj>
        <w:docPartGallery w:val="Page Numbers (Bottom of Page)"/>
        <w:docPartUnique/>
      </w:docPartObj>
    </w:sdtPr>
    <w:sdtEndPr>
      <w:rPr>
        <w:rFonts w:ascii="Arial" w:hAnsi="Arial" w:cs="Arial"/>
        <w:color w:val="009900"/>
        <w:sz w:val="20"/>
        <w:szCs w:val="20"/>
      </w:rPr>
    </w:sdtEndPr>
    <w:sdtContent>
      <w:sdt>
        <w:sdtPr>
          <w:rPr>
            <w:rFonts w:ascii="Arial" w:hAnsi="Arial" w:cs="Arial"/>
            <w:color w:val="009900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5775" w:rsidRPr="00445775" w:rsidRDefault="00445775" w:rsidP="00445775">
            <w:pPr>
              <w:pStyle w:val="Footer"/>
              <w:jc w:val="right"/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Page 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instrText xml:space="preserve"> PAGE </w:instrTex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separate"/>
            </w:r>
            <w:r w:rsidR="009B0AE9">
              <w:rPr>
                <w:rFonts w:ascii="Arial" w:hAnsi="Arial" w:cs="Arial"/>
                <w:b/>
                <w:bCs/>
                <w:noProof/>
                <w:color w:val="009900"/>
                <w:sz w:val="20"/>
                <w:szCs w:val="20"/>
              </w:rPr>
              <w:t>3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end"/>
            </w: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of 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instrText xml:space="preserve"> NUMPAGES  </w:instrTex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separate"/>
            </w:r>
            <w:r w:rsidR="009B0AE9">
              <w:rPr>
                <w:rFonts w:ascii="Arial" w:hAnsi="Arial" w:cs="Arial"/>
                <w:b/>
                <w:bCs/>
                <w:noProof/>
                <w:color w:val="009900"/>
                <w:sz w:val="20"/>
                <w:szCs w:val="20"/>
              </w:rPr>
              <w:t>3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end"/>
            </w:r>
          </w:p>
        </w:sdtContent>
      </w:sdt>
    </w:sdtContent>
  </w:sdt>
  <w:p w:rsidR="006848E6" w:rsidRPr="00445775" w:rsidRDefault="006848E6" w:rsidP="004457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39B54A"/>
        <w:sz w:val="20"/>
        <w:szCs w:val="20"/>
      </w:rPr>
      <w:id w:val="-936295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39B54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5C58" w:rsidRPr="00B766C2" w:rsidRDefault="00845C58" w:rsidP="00B766C2">
            <w:pPr>
              <w:pStyle w:val="Footer"/>
              <w:jc w:val="right"/>
              <w:rPr>
                <w:rFonts w:ascii="Arial" w:hAnsi="Arial" w:cs="Arial"/>
                <w:color w:val="39B54A"/>
                <w:sz w:val="20"/>
                <w:szCs w:val="20"/>
              </w:rPr>
            </w:pPr>
            <w:r w:rsidRPr="00B766C2">
              <w:rPr>
                <w:rFonts w:ascii="Arial" w:hAnsi="Arial" w:cs="Arial"/>
                <w:color w:val="39B54A"/>
                <w:sz w:val="20"/>
                <w:szCs w:val="20"/>
              </w:rPr>
              <w:t xml:space="preserve">Page </w:t>
            </w:r>
            <w:r w:rsidRPr="00B766C2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B766C2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PAGE </w:instrText>
            </w:r>
            <w:r w:rsidRPr="00B766C2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7F5194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1</w:t>
            </w:r>
            <w:r w:rsidRPr="00B766C2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  <w:r w:rsidR="00B466E6">
              <w:rPr>
                <w:rFonts w:ascii="Arial" w:hAnsi="Arial" w:cs="Arial"/>
                <w:bCs/>
                <w:color w:val="39B54A"/>
                <w:sz w:val="20"/>
                <w:szCs w:val="20"/>
              </w:rPr>
              <w:t xml:space="preserve"> </w:t>
            </w:r>
            <w:r w:rsidRPr="00B766C2">
              <w:rPr>
                <w:rFonts w:ascii="Arial" w:hAnsi="Arial" w:cs="Arial"/>
                <w:color w:val="39B54A"/>
                <w:sz w:val="20"/>
                <w:szCs w:val="20"/>
              </w:rPr>
              <w:t xml:space="preserve">of </w:t>
            </w:r>
            <w:r w:rsidRPr="00B766C2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B766C2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NUMPAGES  </w:instrText>
            </w:r>
            <w:r w:rsidRPr="00B766C2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7F5194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1</w:t>
            </w:r>
            <w:r w:rsidRPr="00B766C2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94" w:rsidRDefault="007F5194">
      <w:r>
        <w:separator/>
      </w:r>
    </w:p>
  </w:footnote>
  <w:footnote w:type="continuationSeparator" w:id="0">
    <w:p w:rsidR="007F5194" w:rsidRDefault="007F5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E6" w:rsidRPr="00B466E6" w:rsidRDefault="006848E6" w:rsidP="0008515E">
    <w:pPr>
      <w:tabs>
        <w:tab w:val="left" w:pos="1560"/>
        <w:tab w:val="left" w:pos="3119"/>
      </w:tabs>
      <w:contextualSpacing/>
      <w:rPr>
        <w:rFonts w:ascii="Arial" w:hAnsi="Arial" w:cs="Arial"/>
        <w:color w:val="39B54A"/>
        <w:position w:val="22"/>
        <w:sz w:val="50"/>
        <w:szCs w:val="50"/>
      </w:rPr>
    </w:pPr>
    <w:r w:rsidRPr="008C2740">
      <w:rPr>
        <w:rFonts w:ascii="Arial" w:hAnsi="Arial"/>
        <w:sz w:val="50"/>
      </w:rPr>
      <w:tab/>
    </w:r>
    <w:r w:rsidRPr="00B466E6">
      <w:rPr>
        <w:rFonts w:ascii="Arial" w:hAnsi="Arial" w:cs="Arial"/>
        <w:color w:val="39B54A"/>
        <w:sz w:val="50"/>
      </w:rPr>
      <w:t xml:space="preserve">Tool </w:t>
    </w:r>
    <w:r w:rsidR="00C736D6" w:rsidRPr="00B466E6">
      <w:rPr>
        <w:rFonts w:ascii="Arial" w:hAnsi="Arial" w:cs="Arial"/>
        <w:color w:val="39B54A"/>
        <w:sz w:val="50"/>
      </w:rPr>
      <w:t>3</w:t>
    </w:r>
    <w:r w:rsidR="0008515E" w:rsidRPr="00B466E6">
      <w:rPr>
        <w:rFonts w:ascii="Arial" w:hAnsi="Arial" w:cs="Arial"/>
        <w:color w:val="39B54A"/>
        <w:sz w:val="50"/>
      </w:rPr>
      <w:br/>
    </w:r>
    <w:r w:rsidR="0008515E" w:rsidRPr="00B466E6">
      <w:rPr>
        <w:rFonts w:ascii="Arial" w:hAnsi="Arial" w:cs="Arial"/>
        <w:color w:val="39B54A"/>
        <w:sz w:val="50"/>
      </w:rPr>
      <w:tab/>
    </w:r>
    <w:r w:rsidR="00C736D6" w:rsidRPr="00B466E6">
      <w:rPr>
        <w:rStyle w:val="A6"/>
        <w:rFonts w:ascii="Arial" w:hAnsi="Arial" w:cs="Arial"/>
        <w:color w:val="39B54A"/>
        <w:sz w:val="50"/>
        <w:szCs w:val="50"/>
      </w:rPr>
      <w:t>Closure Risk Analysis</w:t>
    </w:r>
    <w:r w:rsidR="0008515E" w:rsidRPr="00B466E6">
      <w:rPr>
        <w:rFonts w:ascii="Arial" w:hAnsi="Arial" w:cs="Arial"/>
        <w:b/>
        <w:color w:val="39B54A"/>
        <w:sz w:val="50"/>
      </w:rPr>
      <w:br/>
    </w:r>
    <w:r w:rsidR="0008515E" w:rsidRPr="00B466E6">
      <w:rPr>
        <w:rFonts w:ascii="Arial" w:hAnsi="Arial" w:cs="Arial"/>
        <w:b/>
        <w:color w:val="39B54A"/>
        <w:sz w:val="50"/>
      </w:rPr>
      <w:tab/>
    </w:r>
  </w:p>
  <w:p w:rsidR="006848E6" w:rsidRPr="00B466E6" w:rsidRDefault="00FE29D0" w:rsidP="00B766C2">
    <w:pPr>
      <w:tabs>
        <w:tab w:val="left" w:pos="3119"/>
      </w:tabs>
      <w:contextualSpacing/>
      <w:rPr>
        <w:rFonts w:ascii="Arial" w:hAnsi="Arial" w:cs="Arial"/>
        <w:color w:val="39B54A"/>
        <w:sz w:val="22"/>
        <w:szCs w:val="22"/>
      </w:rPr>
    </w:pPr>
    <w:r w:rsidRPr="00B466E6">
      <w:rPr>
        <w:rFonts w:ascii="Arial" w:hAnsi="Arial" w:cs="Arial"/>
        <w:noProof/>
        <w:color w:val="39B54A"/>
        <w:sz w:val="22"/>
        <w:szCs w:val="22"/>
        <w:lang w:eastAsia="en-GB"/>
      </w:rPr>
      <w:drawing>
        <wp:anchor distT="0" distB="0" distL="114300" distR="114300" simplePos="0" relativeHeight="251659264" behindDoc="1" locked="1" layoutInCell="1" allowOverlap="1" wp14:anchorId="764874CD" wp14:editId="54B5D435">
          <wp:simplePos x="0" y="0"/>
          <wp:positionH relativeFrom="column">
            <wp:posOffset>-247015</wp:posOffset>
          </wp:positionH>
          <wp:positionV relativeFrom="page">
            <wp:posOffset>375285</wp:posOffset>
          </wp:positionV>
          <wp:extent cx="1094105" cy="11633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Closu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84E5971"/>
    <w:multiLevelType w:val="hybridMultilevel"/>
    <w:tmpl w:val="3C804D66"/>
    <w:lvl w:ilvl="0" w:tplc="6484876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009900"/>
        <w:sz w:val="22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3DBC"/>
    <w:multiLevelType w:val="hybridMultilevel"/>
    <w:tmpl w:val="AE102CFC"/>
    <w:lvl w:ilvl="0" w:tplc="11646DB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F6659"/>
    <w:multiLevelType w:val="hybridMultilevel"/>
    <w:tmpl w:val="E07CA68E"/>
    <w:lvl w:ilvl="0" w:tplc="141E3EF2">
      <w:start w:val="1"/>
      <w:numFmt w:val="bullet"/>
      <w:pStyle w:val="Dash2"/>
      <w:lvlText w:val="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36183"/>
    <w:multiLevelType w:val="hybridMultilevel"/>
    <w:tmpl w:val="4E4E64B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D470766"/>
    <w:multiLevelType w:val="hybridMultilevel"/>
    <w:tmpl w:val="C55AAE7E"/>
    <w:lvl w:ilvl="0" w:tplc="38DA5BF8">
      <w:start w:val="1"/>
      <w:numFmt w:val="bullet"/>
      <w:pStyle w:val="GreenBullet2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7360E"/>
    <w:multiLevelType w:val="hybridMultilevel"/>
    <w:tmpl w:val="D6841B54"/>
    <w:lvl w:ilvl="0" w:tplc="07140EC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00990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4FF31DD"/>
    <w:multiLevelType w:val="hybridMultilevel"/>
    <w:tmpl w:val="164486E8"/>
    <w:lvl w:ilvl="0" w:tplc="EA3EE554">
      <w:start w:val="1"/>
      <w:numFmt w:val="decimal"/>
      <w:pStyle w:val="Numbering1"/>
      <w:lvlText w:val="%1.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1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44295"/>
    <w:multiLevelType w:val="hybridMultilevel"/>
    <w:tmpl w:val="229C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7"/>
  </w:num>
  <w:num w:numId="5">
    <w:abstractNumId w:val="26"/>
  </w:num>
  <w:num w:numId="6">
    <w:abstractNumId w:val="18"/>
  </w:num>
  <w:num w:numId="7">
    <w:abstractNumId w:val="0"/>
  </w:num>
  <w:num w:numId="8">
    <w:abstractNumId w:val="3"/>
  </w:num>
  <w:num w:numId="9">
    <w:abstractNumId w:val="17"/>
  </w:num>
  <w:num w:numId="10">
    <w:abstractNumId w:val="9"/>
  </w:num>
  <w:num w:numId="11">
    <w:abstractNumId w:val="23"/>
  </w:num>
  <w:num w:numId="12">
    <w:abstractNumId w:val="22"/>
  </w:num>
  <w:num w:numId="13">
    <w:abstractNumId w:val="27"/>
  </w:num>
  <w:num w:numId="14">
    <w:abstractNumId w:val="4"/>
  </w:num>
  <w:num w:numId="15">
    <w:abstractNumId w:val="10"/>
  </w:num>
  <w:num w:numId="16">
    <w:abstractNumId w:val="24"/>
  </w:num>
  <w:num w:numId="17">
    <w:abstractNumId w:val="25"/>
  </w:num>
  <w:num w:numId="18">
    <w:abstractNumId w:val="21"/>
  </w:num>
  <w:num w:numId="19">
    <w:abstractNumId w:val="20"/>
  </w:num>
  <w:num w:numId="20">
    <w:abstractNumId w:val="14"/>
  </w:num>
  <w:num w:numId="21">
    <w:abstractNumId w:val="6"/>
  </w:num>
  <w:num w:numId="22">
    <w:abstractNumId w:val="5"/>
  </w:num>
  <w:num w:numId="23">
    <w:abstractNumId w:val="11"/>
  </w:num>
  <w:num w:numId="24">
    <w:abstractNumId w:val="13"/>
  </w:num>
  <w:num w:numId="25">
    <w:abstractNumId w:val="28"/>
  </w:num>
  <w:num w:numId="26">
    <w:abstractNumId w:val="16"/>
  </w:num>
  <w:num w:numId="27">
    <w:abstractNumId w:val="12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51C58"/>
    <w:rsid w:val="000548DA"/>
    <w:rsid w:val="0008515E"/>
    <w:rsid w:val="000B630B"/>
    <w:rsid w:val="000C5C25"/>
    <w:rsid w:val="002427A6"/>
    <w:rsid w:val="00257E6B"/>
    <w:rsid w:val="00260847"/>
    <w:rsid w:val="00262817"/>
    <w:rsid w:val="00271946"/>
    <w:rsid w:val="002C6899"/>
    <w:rsid w:val="003B6928"/>
    <w:rsid w:val="003D6B23"/>
    <w:rsid w:val="003E2593"/>
    <w:rsid w:val="003E70E9"/>
    <w:rsid w:val="003F1B6D"/>
    <w:rsid w:val="00445775"/>
    <w:rsid w:val="00457B5A"/>
    <w:rsid w:val="004C64B1"/>
    <w:rsid w:val="004D7FF4"/>
    <w:rsid w:val="004F0CE0"/>
    <w:rsid w:val="005D7AE8"/>
    <w:rsid w:val="006848E6"/>
    <w:rsid w:val="00687602"/>
    <w:rsid w:val="00764FCE"/>
    <w:rsid w:val="00766017"/>
    <w:rsid w:val="00770537"/>
    <w:rsid w:val="007D07CF"/>
    <w:rsid w:val="007F5194"/>
    <w:rsid w:val="00845C58"/>
    <w:rsid w:val="008733D2"/>
    <w:rsid w:val="009B0AE9"/>
    <w:rsid w:val="009C4F29"/>
    <w:rsid w:val="009D179A"/>
    <w:rsid w:val="009F7D2A"/>
    <w:rsid w:val="00AB5A3C"/>
    <w:rsid w:val="00B06EA0"/>
    <w:rsid w:val="00B466E6"/>
    <w:rsid w:val="00B766C2"/>
    <w:rsid w:val="00C7008B"/>
    <w:rsid w:val="00C736D6"/>
    <w:rsid w:val="00C80928"/>
    <w:rsid w:val="00D61B4D"/>
    <w:rsid w:val="00D75E66"/>
    <w:rsid w:val="00DE6051"/>
    <w:rsid w:val="00DF2AEF"/>
    <w:rsid w:val="00E96A5B"/>
    <w:rsid w:val="00ED2297"/>
    <w:rsid w:val="00ED508C"/>
    <w:rsid w:val="00EE09E2"/>
    <w:rsid w:val="00F4240C"/>
    <w:rsid w:val="00F553C7"/>
    <w:rsid w:val="00F71B38"/>
    <w:rsid w:val="00FA418E"/>
    <w:rsid w:val="00FE1040"/>
    <w:rsid w:val="00FE2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62483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character" w:customStyle="1" w:styleId="A6">
    <w:name w:val="A6"/>
    <w:uiPriority w:val="99"/>
    <w:rsid w:val="00FE29D0"/>
    <w:rPr>
      <w:rFonts w:cs="VAG Rounded Std Thin"/>
      <w:b/>
      <w:bCs/>
      <w:color w:val="000000"/>
      <w:sz w:val="48"/>
      <w:szCs w:val="48"/>
    </w:rPr>
  </w:style>
  <w:style w:type="table" w:styleId="TableGrid">
    <w:name w:val="Table Grid"/>
    <w:basedOn w:val="TableNormal"/>
    <w:rsid w:val="00FE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770537"/>
    <w:pPr>
      <w:autoSpaceDE w:val="0"/>
      <w:autoSpaceDN w:val="0"/>
      <w:adjustRightInd w:val="0"/>
      <w:spacing w:line="201" w:lineRule="atLeast"/>
    </w:pPr>
    <w:rPr>
      <w:rFonts w:ascii="VAG Rounded Std Thin" w:hAnsi="VAG Rounded Std Thin"/>
      <w:lang w:eastAsia="en-GB"/>
    </w:rPr>
  </w:style>
  <w:style w:type="character" w:customStyle="1" w:styleId="A2">
    <w:name w:val="A2"/>
    <w:uiPriority w:val="99"/>
    <w:rsid w:val="00770537"/>
    <w:rPr>
      <w:rFonts w:cs="VAG Rounded Std Thin"/>
      <w:b/>
      <w:bCs/>
      <w:color w:val="000000"/>
      <w:sz w:val="16"/>
      <w:szCs w:val="16"/>
    </w:rPr>
  </w:style>
  <w:style w:type="paragraph" w:customStyle="1" w:styleId="Pa3">
    <w:name w:val="Pa3"/>
    <w:basedOn w:val="Normal"/>
    <w:next w:val="Normal"/>
    <w:link w:val="Pa3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3">
    <w:name w:val="A3"/>
    <w:uiPriority w:val="99"/>
    <w:rsid w:val="00770537"/>
    <w:rPr>
      <w:rFonts w:cs="VAG Rounded Std Thin"/>
      <w:b/>
      <w:bCs/>
      <w:color w:val="000000"/>
      <w:sz w:val="15"/>
      <w:szCs w:val="15"/>
    </w:rPr>
  </w:style>
  <w:style w:type="paragraph" w:customStyle="1" w:styleId="Pa7">
    <w:name w:val="Pa7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4">
    <w:name w:val="A4"/>
    <w:uiPriority w:val="99"/>
    <w:rsid w:val="00770537"/>
    <w:rPr>
      <w:rFonts w:cs="VAG Rounded Std Light"/>
      <w:color w:val="000000"/>
      <w:sz w:val="15"/>
      <w:szCs w:val="15"/>
    </w:rPr>
  </w:style>
  <w:style w:type="paragraph" w:customStyle="1" w:styleId="Pa5">
    <w:name w:val="Pa5"/>
    <w:basedOn w:val="Normal"/>
    <w:next w:val="Normal"/>
    <w:link w:val="Pa5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customStyle="1" w:styleId="Pa6">
    <w:name w:val="Pa6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styleId="ListParagraph">
    <w:name w:val="List Paragraph"/>
    <w:basedOn w:val="Normal"/>
    <w:link w:val="ListParagraphChar"/>
    <w:qFormat/>
    <w:rsid w:val="00EE09E2"/>
    <w:pPr>
      <w:ind w:left="720"/>
      <w:contextualSpacing/>
    </w:pPr>
  </w:style>
  <w:style w:type="paragraph" w:customStyle="1" w:styleId="Bullet1">
    <w:name w:val="Bullet 1"/>
    <w:basedOn w:val="Pa3"/>
    <w:link w:val="Bullet1Char"/>
    <w:qFormat/>
    <w:rsid w:val="00EE09E2"/>
    <w:pPr>
      <w:numPr>
        <w:numId w:val="22"/>
      </w:numPr>
      <w:ind w:left="317" w:hanging="283"/>
    </w:pPr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ash2">
    <w:name w:val="Dash 2"/>
    <w:basedOn w:val="Pa5"/>
    <w:link w:val="Dash2Char"/>
    <w:qFormat/>
    <w:rsid w:val="00EE09E2"/>
    <w:pPr>
      <w:numPr>
        <w:numId w:val="23"/>
      </w:numPr>
      <w:ind w:left="600" w:hanging="262"/>
    </w:pPr>
    <w:rPr>
      <w:rFonts w:ascii="Arial" w:hAnsi="Arial" w:cs="Arial"/>
      <w:color w:val="595959" w:themeColor="text1" w:themeTint="A6"/>
      <w:sz w:val="18"/>
      <w:szCs w:val="18"/>
    </w:rPr>
  </w:style>
  <w:style w:type="character" w:customStyle="1" w:styleId="Pa3Char">
    <w:name w:val="Pa3 Char"/>
    <w:basedOn w:val="DefaultParagraphFont"/>
    <w:link w:val="Pa3"/>
    <w:uiPriority w:val="99"/>
    <w:rsid w:val="00EE09E2"/>
    <w:rPr>
      <w:rFonts w:ascii="VAG Rounded Std Thin" w:hAnsi="VAG Rounded Std Thin"/>
      <w:sz w:val="24"/>
      <w:szCs w:val="24"/>
    </w:rPr>
  </w:style>
  <w:style w:type="character" w:customStyle="1" w:styleId="Bullet1Char">
    <w:name w:val="Bullet 1 Char"/>
    <w:basedOn w:val="Pa3Char"/>
    <w:link w:val="Bullet1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">
    <w:name w:val="Green Bullet"/>
    <w:basedOn w:val="Bullet1"/>
    <w:link w:val="GreenBulletChar"/>
    <w:qFormat/>
    <w:rsid w:val="00EE09E2"/>
  </w:style>
  <w:style w:type="character" w:customStyle="1" w:styleId="Pa5Char">
    <w:name w:val="Pa5 Char"/>
    <w:basedOn w:val="DefaultParagraphFont"/>
    <w:link w:val="Pa5"/>
    <w:uiPriority w:val="99"/>
    <w:rsid w:val="00EE09E2"/>
    <w:rPr>
      <w:rFonts w:ascii="VAG Rounded Std Light" w:hAnsi="VAG Rounded Std Light"/>
      <w:sz w:val="24"/>
      <w:szCs w:val="24"/>
    </w:rPr>
  </w:style>
  <w:style w:type="character" w:customStyle="1" w:styleId="Dash2Char">
    <w:name w:val="Dash 2 Char"/>
    <w:basedOn w:val="Pa5Char"/>
    <w:link w:val="Dash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2">
    <w:name w:val="Green Bullet2"/>
    <w:basedOn w:val="GreenBullet"/>
    <w:link w:val="GreenBullet2Char"/>
    <w:qFormat/>
    <w:rsid w:val="00EE09E2"/>
    <w:pPr>
      <w:numPr>
        <w:numId w:val="24"/>
      </w:numPr>
    </w:pPr>
  </w:style>
  <w:style w:type="character" w:customStyle="1" w:styleId="GreenBulletChar">
    <w:name w:val="Green Bullet Char"/>
    <w:basedOn w:val="Bullet1Char"/>
    <w:link w:val="GreenBullet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3">
    <w:name w:val="Green Bullet 3"/>
    <w:basedOn w:val="GreenBullet2"/>
    <w:link w:val="GreenBullet3Char"/>
    <w:qFormat/>
    <w:rsid w:val="00EE09E2"/>
    <w:pPr>
      <w:ind w:left="317" w:hanging="283"/>
    </w:pPr>
  </w:style>
  <w:style w:type="character" w:customStyle="1" w:styleId="GreenBullet2Char">
    <w:name w:val="Green Bullet2 Char"/>
    <w:basedOn w:val="GreenBulletChar"/>
    <w:link w:val="GreenBullet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efault">
    <w:name w:val="Default"/>
    <w:rsid w:val="003B6928"/>
    <w:pPr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</w:rPr>
  </w:style>
  <w:style w:type="character" w:customStyle="1" w:styleId="GreenBullet3Char">
    <w:name w:val="Green Bullet 3 Char"/>
    <w:basedOn w:val="GreenBullet2Char"/>
    <w:link w:val="GreenBullet3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3B6928"/>
    <w:rPr>
      <w:rFonts w:cs="VAG Rounded Std Thin"/>
      <w:b/>
      <w:bCs/>
      <w:color w:val="000000"/>
      <w:sz w:val="17"/>
      <w:szCs w:val="17"/>
    </w:rPr>
  </w:style>
  <w:style w:type="paragraph" w:customStyle="1" w:styleId="Pa9">
    <w:name w:val="Pa9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Numbering1">
    <w:name w:val="Numbering 1"/>
    <w:basedOn w:val="ListParagraph"/>
    <w:link w:val="Numbering1Char"/>
    <w:qFormat/>
    <w:rsid w:val="00262817"/>
    <w:pPr>
      <w:numPr>
        <w:numId w:val="26"/>
      </w:numPr>
      <w:autoSpaceDE w:val="0"/>
      <w:autoSpaceDN w:val="0"/>
      <w:adjustRightInd w:val="0"/>
      <w:spacing w:after="60" w:line="161" w:lineRule="atLeast"/>
      <w:ind w:left="459" w:hanging="425"/>
    </w:pPr>
    <w:rPr>
      <w:rFonts w:ascii="Arial" w:hAnsi="Arial" w:cs="Arial"/>
      <w:color w:val="595959" w:themeColor="text1" w:themeTint="A6"/>
      <w:sz w:val="18"/>
      <w:szCs w:val="18"/>
      <w:lang w:eastAsia="en-GB"/>
    </w:rPr>
  </w:style>
  <w:style w:type="paragraph" w:customStyle="1" w:styleId="GreenDash">
    <w:name w:val="Green Dash"/>
    <w:basedOn w:val="Dash2"/>
    <w:link w:val="GreenDashChar"/>
    <w:qFormat/>
    <w:rsid w:val="00262817"/>
  </w:style>
  <w:style w:type="character" w:customStyle="1" w:styleId="ListParagraphChar">
    <w:name w:val="List Paragraph Char"/>
    <w:basedOn w:val="DefaultParagraphFont"/>
    <w:link w:val="ListParagraph"/>
    <w:rsid w:val="00262817"/>
    <w:rPr>
      <w:sz w:val="24"/>
      <w:szCs w:val="24"/>
      <w:lang w:eastAsia="en-US"/>
    </w:rPr>
  </w:style>
  <w:style w:type="character" w:customStyle="1" w:styleId="Numbering1Char">
    <w:name w:val="Numbering 1 Char"/>
    <w:basedOn w:val="ListParagraphChar"/>
    <w:link w:val="Numbering1"/>
    <w:rsid w:val="00262817"/>
    <w:rPr>
      <w:rFonts w:ascii="Arial" w:hAnsi="Arial" w:cs="Arial"/>
      <w:color w:val="595959" w:themeColor="text1" w:themeTint="A6"/>
      <w:sz w:val="18"/>
      <w:szCs w:val="18"/>
      <w:lang w:eastAsia="en-US"/>
    </w:rPr>
  </w:style>
  <w:style w:type="paragraph" w:customStyle="1" w:styleId="Pa12">
    <w:name w:val="Pa12"/>
    <w:basedOn w:val="Default"/>
    <w:next w:val="Default"/>
    <w:uiPriority w:val="99"/>
    <w:rsid w:val="00C736D6"/>
    <w:pPr>
      <w:spacing w:line="201" w:lineRule="atLeast"/>
    </w:pPr>
    <w:rPr>
      <w:rFonts w:cs="Times New Roman"/>
      <w:color w:val="auto"/>
    </w:rPr>
  </w:style>
  <w:style w:type="character" w:customStyle="1" w:styleId="GreenDashChar">
    <w:name w:val="Green Dash Char"/>
    <w:basedOn w:val="Dash2Char"/>
    <w:link w:val="GreenDash"/>
    <w:rsid w:val="00262817"/>
    <w:rPr>
      <w:rFonts w:ascii="Arial" w:hAnsi="Arial" w:cs="Arial"/>
      <w:color w:val="595959" w:themeColor="text1" w:themeTint="A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character" w:customStyle="1" w:styleId="A6">
    <w:name w:val="A6"/>
    <w:uiPriority w:val="99"/>
    <w:rsid w:val="00FE29D0"/>
    <w:rPr>
      <w:rFonts w:cs="VAG Rounded Std Thin"/>
      <w:b/>
      <w:bCs/>
      <w:color w:val="000000"/>
      <w:sz w:val="48"/>
      <w:szCs w:val="48"/>
    </w:rPr>
  </w:style>
  <w:style w:type="table" w:styleId="TableGrid">
    <w:name w:val="Table Grid"/>
    <w:basedOn w:val="TableNormal"/>
    <w:rsid w:val="00FE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770537"/>
    <w:pPr>
      <w:autoSpaceDE w:val="0"/>
      <w:autoSpaceDN w:val="0"/>
      <w:adjustRightInd w:val="0"/>
      <w:spacing w:line="201" w:lineRule="atLeast"/>
    </w:pPr>
    <w:rPr>
      <w:rFonts w:ascii="VAG Rounded Std Thin" w:hAnsi="VAG Rounded Std Thin"/>
      <w:lang w:eastAsia="en-GB"/>
    </w:rPr>
  </w:style>
  <w:style w:type="character" w:customStyle="1" w:styleId="A2">
    <w:name w:val="A2"/>
    <w:uiPriority w:val="99"/>
    <w:rsid w:val="00770537"/>
    <w:rPr>
      <w:rFonts w:cs="VAG Rounded Std Thin"/>
      <w:b/>
      <w:bCs/>
      <w:color w:val="000000"/>
      <w:sz w:val="16"/>
      <w:szCs w:val="16"/>
    </w:rPr>
  </w:style>
  <w:style w:type="paragraph" w:customStyle="1" w:styleId="Pa3">
    <w:name w:val="Pa3"/>
    <w:basedOn w:val="Normal"/>
    <w:next w:val="Normal"/>
    <w:link w:val="Pa3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3">
    <w:name w:val="A3"/>
    <w:uiPriority w:val="99"/>
    <w:rsid w:val="00770537"/>
    <w:rPr>
      <w:rFonts w:cs="VAG Rounded Std Thin"/>
      <w:b/>
      <w:bCs/>
      <w:color w:val="000000"/>
      <w:sz w:val="15"/>
      <w:szCs w:val="15"/>
    </w:rPr>
  </w:style>
  <w:style w:type="paragraph" w:customStyle="1" w:styleId="Pa7">
    <w:name w:val="Pa7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4">
    <w:name w:val="A4"/>
    <w:uiPriority w:val="99"/>
    <w:rsid w:val="00770537"/>
    <w:rPr>
      <w:rFonts w:cs="VAG Rounded Std Light"/>
      <w:color w:val="000000"/>
      <w:sz w:val="15"/>
      <w:szCs w:val="15"/>
    </w:rPr>
  </w:style>
  <w:style w:type="paragraph" w:customStyle="1" w:styleId="Pa5">
    <w:name w:val="Pa5"/>
    <w:basedOn w:val="Normal"/>
    <w:next w:val="Normal"/>
    <w:link w:val="Pa5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customStyle="1" w:styleId="Pa6">
    <w:name w:val="Pa6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styleId="ListParagraph">
    <w:name w:val="List Paragraph"/>
    <w:basedOn w:val="Normal"/>
    <w:link w:val="ListParagraphChar"/>
    <w:qFormat/>
    <w:rsid w:val="00EE09E2"/>
    <w:pPr>
      <w:ind w:left="720"/>
      <w:contextualSpacing/>
    </w:pPr>
  </w:style>
  <w:style w:type="paragraph" w:customStyle="1" w:styleId="Bullet1">
    <w:name w:val="Bullet 1"/>
    <w:basedOn w:val="Pa3"/>
    <w:link w:val="Bullet1Char"/>
    <w:qFormat/>
    <w:rsid w:val="00EE09E2"/>
    <w:pPr>
      <w:numPr>
        <w:numId w:val="22"/>
      </w:numPr>
      <w:ind w:left="317" w:hanging="283"/>
    </w:pPr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ash2">
    <w:name w:val="Dash 2"/>
    <w:basedOn w:val="Pa5"/>
    <w:link w:val="Dash2Char"/>
    <w:qFormat/>
    <w:rsid w:val="00EE09E2"/>
    <w:pPr>
      <w:numPr>
        <w:numId w:val="23"/>
      </w:numPr>
      <w:ind w:left="600" w:hanging="262"/>
    </w:pPr>
    <w:rPr>
      <w:rFonts w:ascii="Arial" w:hAnsi="Arial" w:cs="Arial"/>
      <w:color w:val="595959" w:themeColor="text1" w:themeTint="A6"/>
      <w:sz w:val="18"/>
      <w:szCs w:val="18"/>
    </w:rPr>
  </w:style>
  <w:style w:type="character" w:customStyle="1" w:styleId="Pa3Char">
    <w:name w:val="Pa3 Char"/>
    <w:basedOn w:val="DefaultParagraphFont"/>
    <w:link w:val="Pa3"/>
    <w:uiPriority w:val="99"/>
    <w:rsid w:val="00EE09E2"/>
    <w:rPr>
      <w:rFonts w:ascii="VAG Rounded Std Thin" w:hAnsi="VAG Rounded Std Thin"/>
      <w:sz w:val="24"/>
      <w:szCs w:val="24"/>
    </w:rPr>
  </w:style>
  <w:style w:type="character" w:customStyle="1" w:styleId="Bullet1Char">
    <w:name w:val="Bullet 1 Char"/>
    <w:basedOn w:val="Pa3Char"/>
    <w:link w:val="Bullet1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">
    <w:name w:val="Green Bullet"/>
    <w:basedOn w:val="Bullet1"/>
    <w:link w:val="GreenBulletChar"/>
    <w:qFormat/>
    <w:rsid w:val="00EE09E2"/>
  </w:style>
  <w:style w:type="character" w:customStyle="1" w:styleId="Pa5Char">
    <w:name w:val="Pa5 Char"/>
    <w:basedOn w:val="DefaultParagraphFont"/>
    <w:link w:val="Pa5"/>
    <w:uiPriority w:val="99"/>
    <w:rsid w:val="00EE09E2"/>
    <w:rPr>
      <w:rFonts w:ascii="VAG Rounded Std Light" w:hAnsi="VAG Rounded Std Light"/>
      <w:sz w:val="24"/>
      <w:szCs w:val="24"/>
    </w:rPr>
  </w:style>
  <w:style w:type="character" w:customStyle="1" w:styleId="Dash2Char">
    <w:name w:val="Dash 2 Char"/>
    <w:basedOn w:val="Pa5Char"/>
    <w:link w:val="Dash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2">
    <w:name w:val="Green Bullet2"/>
    <w:basedOn w:val="GreenBullet"/>
    <w:link w:val="GreenBullet2Char"/>
    <w:qFormat/>
    <w:rsid w:val="00EE09E2"/>
    <w:pPr>
      <w:numPr>
        <w:numId w:val="24"/>
      </w:numPr>
    </w:pPr>
  </w:style>
  <w:style w:type="character" w:customStyle="1" w:styleId="GreenBulletChar">
    <w:name w:val="Green Bullet Char"/>
    <w:basedOn w:val="Bullet1Char"/>
    <w:link w:val="GreenBullet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3">
    <w:name w:val="Green Bullet 3"/>
    <w:basedOn w:val="GreenBullet2"/>
    <w:link w:val="GreenBullet3Char"/>
    <w:qFormat/>
    <w:rsid w:val="00EE09E2"/>
    <w:pPr>
      <w:ind w:left="317" w:hanging="283"/>
    </w:pPr>
  </w:style>
  <w:style w:type="character" w:customStyle="1" w:styleId="GreenBullet2Char">
    <w:name w:val="Green Bullet2 Char"/>
    <w:basedOn w:val="GreenBulletChar"/>
    <w:link w:val="GreenBullet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efault">
    <w:name w:val="Default"/>
    <w:rsid w:val="003B6928"/>
    <w:pPr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</w:rPr>
  </w:style>
  <w:style w:type="character" w:customStyle="1" w:styleId="GreenBullet3Char">
    <w:name w:val="Green Bullet 3 Char"/>
    <w:basedOn w:val="GreenBullet2Char"/>
    <w:link w:val="GreenBullet3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3B6928"/>
    <w:rPr>
      <w:rFonts w:cs="VAG Rounded Std Thin"/>
      <w:b/>
      <w:bCs/>
      <w:color w:val="000000"/>
      <w:sz w:val="17"/>
      <w:szCs w:val="17"/>
    </w:rPr>
  </w:style>
  <w:style w:type="paragraph" w:customStyle="1" w:styleId="Pa9">
    <w:name w:val="Pa9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Numbering1">
    <w:name w:val="Numbering 1"/>
    <w:basedOn w:val="ListParagraph"/>
    <w:link w:val="Numbering1Char"/>
    <w:qFormat/>
    <w:rsid w:val="00262817"/>
    <w:pPr>
      <w:numPr>
        <w:numId w:val="26"/>
      </w:numPr>
      <w:autoSpaceDE w:val="0"/>
      <w:autoSpaceDN w:val="0"/>
      <w:adjustRightInd w:val="0"/>
      <w:spacing w:after="60" w:line="161" w:lineRule="atLeast"/>
      <w:ind w:left="459" w:hanging="425"/>
    </w:pPr>
    <w:rPr>
      <w:rFonts w:ascii="Arial" w:hAnsi="Arial" w:cs="Arial"/>
      <w:color w:val="595959" w:themeColor="text1" w:themeTint="A6"/>
      <w:sz w:val="18"/>
      <w:szCs w:val="18"/>
      <w:lang w:eastAsia="en-GB"/>
    </w:rPr>
  </w:style>
  <w:style w:type="paragraph" w:customStyle="1" w:styleId="GreenDash">
    <w:name w:val="Green Dash"/>
    <w:basedOn w:val="Dash2"/>
    <w:link w:val="GreenDashChar"/>
    <w:qFormat/>
    <w:rsid w:val="00262817"/>
  </w:style>
  <w:style w:type="character" w:customStyle="1" w:styleId="ListParagraphChar">
    <w:name w:val="List Paragraph Char"/>
    <w:basedOn w:val="DefaultParagraphFont"/>
    <w:link w:val="ListParagraph"/>
    <w:rsid w:val="00262817"/>
    <w:rPr>
      <w:sz w:val="24"/>
      <w:szCs w:val="24"/>
      <w:lang w:eastAsia="en-US"/>
    </w:rPr>
  </w:style>
  <w:style w:type="character" w:customStyle="1" w:styleId="Numbering1Char">
    <w:name w:val="Numbering 1 Char"/>
    <w:basedOn w:val="ListParagraphChar"/>
    <w:link w:val="Numbering1"/>
    <w:rsid w:val="00262817"/>
    <w:rPr>
      <w:rFonts w:ascii="Arial" w:hAnsi="Arial" w:cs="Arial"/>
      <w:color w:val="595959" w:themeColor="text1" w:themeTint="A6"/>
      <w:sz w:val="18"/>
      <w:szCs w:val="18"/>
      <w:lang w:eastAsia="en-US"/>
    </w:rPr>
  </w:style>
  <w:style w:type="paragraph" w:customStyle="1" w:styleId="Pa12">
    <w:name w:val="Pa12"/>
    <w:basedOn w:val="Default"/>
    <w:next w:val="Default"/>
    <w:uiPriority w:val="99"/>
    <w:rsid w:val="00C736D6"/>
    <w:pPr>
      <w:spacing w:line="201" w:lineRule="atLeast"/>
    </w:pPr>
    <w:rPr>
      <w:rFonts w:cs="Times New Roman"/>
      <w:color w:val="auto"/>
    </w:rPr>
  </w:style>
  <w:style w:type="character" w:customStyle="1" w:styleId="GreenDashChar">
    <w:name w:val="Green Dash Char"/>
    <w:basedOn w:val="Dash2Char"/>
    <w:link w:val="GreenDash"/>
    <w:rsid w:val="00262817"/>
    <w:rPr>
      <w:rFonts w:ascii="Arial" w:hAnsi="Arial" w:cs="Arial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C64FE5-634B-4BAB-A3BA-C09789A3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1571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Darren Lomon</cp:lastModifiedBy>
  <cp:revision>7</cp:revision>
  <cp:lastPrinted>2013-07-25T14:08:00Z</cp:lastPrinted>
  <dcterms:created xsi:type="dcterms:W3CDTF">2013-10-30T09:32:00Z</dcterms:created>
  <dcterms:modified xsi:type="dcterms:W3CDTF">2013-11-12T15:01:00Z</dcterms:modified>
</cp:coreProperties>
</file>