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26"/>
        <w:gridCol w:w="3402"/>
        <w:gridCol w:w="2552"/>
        <w:gridCol w:w="1417"/>
        <w:gridCol w:w="1417"/>
      </w:tblGrid>
      <w:tr w:rsidR="00EE6B4A" w:rsidRPr="005D7AE8" w:rsidTr="00FA6357">
        <w:tc>
          <w:tcPr>
            <w:tcW w:w="1526" w:type="dxa"/>
            <w:shd w:val="clear" w:color="auto" w:fill="D9F3DD"/>
          </w:tcPr>
          <w:p w:rsidR="005D7AE8" w:rsidRPr="005D7AE8" w:rsidRDefault="005D7AE8" w:rsidP="005D7AE8">
            <w:pPr>
              <w:pStyle w:val="Pa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F3DD"/>
          </w:tcPr>
          <w:p w:rsidR="005D7AE8" w:rsidRPr="005D7AE8" w:rsidRDefault="006E5E77" w:rsidP="005D7AE8">
            <w:pPr>
              <w:pStyle w:val="Pa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E5E77">
              <w:rPr>
                <w:rStyle w:val="A2"/>
                <w:rFonts w:ascii="Arial" w:hAnsi="Arial" w:cs="Arial"/>
                <w:color w:val="595959" w:themeColor="text1" w:themeTint="A6"/>
                <w:sz w:val="20"/>
                <w:szCs w:val="20"/>
              </w:rPr>
              <w:t>Objective</w:t>
            </w:r>
          </w:p>
        </w:tc>
        <w:tc>
          <w:tcPr>
            <w:tcW w:w="2552" w:type="dxa"/>
            <w:shd w:val="clear" w:color="auto" w:fill="D9F3DD"/>
          </w:tcPr>
          <w:p w:rsidR="005D7AE8" w:rsidRPr="005D7AE8" w:rsidRDefault="006E5E77" w:rsidP="005D27A9">
            <w:pPr>
              <w:pStyle w:val="Pa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E5E77">
              <w:rPr>
                <w:rStyle w:val="A2"/>
                <w:rFonts w:ascii="Arial" w:hAnsi="Arial" w:cs="Arial"/>
                <w:color w:val="595959" w:themeColor="text1" w:themeTint="A6"/>
                <w:sz w:val="20"/>
                <w:szCs w:val="20"/>
              </w:rPr>
              <w:t>Key messages</w:t>
            </w:r>
          </w:p>
        </w:tc>
        <w:tc>
          <w:tcPr>
            <w:tcW w:w="1417" w:type="dxa"/>
            <w:shd w:val="clear" w:color="auto" w:fill="D9F3DD"/>
          </w:tcPr>
          <w:p w:rsidR="005D7AE8" w:rsidRPr="005D7AE8" w:rsidRDefault="006E5E77" w:rsidP="005D7AE8">
            <w:pPr>
              <w:pStyle w:val="Pa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E5E77">
              <w:rPr>
                <w:rStyle w:val="A2"/>
                <w:rFonts w:ascii="Arial" w:hAnsi="Arial" w:cs="Arial"/>
                <w:color w:val="595959" w:themeColor="text1" w:themeTint="A6"/>
                <w:sz w:val="20"/>
                <w:szCs w:val="20"/>
              </w:rPr>
              <w:t>Method</w:t>
            </w:r>
          </w:p>
        </w:tc>
        <w:tc>
          <w:tcPr>
            <w:tcW w:w="1417" w:type="dxa"/>
            <w:shd w:val="clear" w:color="auto" w:fill="D9F3DD"/>
          </w:tcPr>
          <w:p w:rsidR="005D7AE8" w:rsidRPr="005D7AE8" w:rsidRDefault="006E5E77" w:rsidP="005D7AE8">
            <w:pPr>
              <w:pStyle w:val="Pa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E5E77">
              <w:rPr>
                <w:rStyle w:val="A2"/>
                <w:rFonts w:ascii="Arial" w:hAnsi="Arial" w:cs="Arial"/>
                <w:color w:val="595959" w:themeColor="text1" w:themeTint="A6"/>
                <w:sz w:val="20"/>
                <w:szCs w:val="20"/>
              </w:rPr>
              <w:t>Person responsible</w:t>
            </w:r>
          </w:p>
        </w:tc>
      </w:tr>
      <w:tr w:rsidR="00EE6B4A" w:rsidRPr="005D7AE8" w:rsidTr="00EE6B4A">
        <w:tc>
          <w:tcPr>
            <w:tcW w:w="1526" w:type="dxa"/>
          </w:tcPr>
          <w:p w:rsidR="005D7AE8" w:rsidRPr="005D27A9" w:rsidRDefault="006E5E77" w:rsidP="005D7AE8">
            <w:pPr>
              <w:pStyle w:val="Pa3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Directly affected staff</w:t>
            </w:r>
          </w:p>
        </w:tc>
        <w:tc>
          <w:tcPr>
            <w:tcW w:w="3402" w:type="dxa"/>
          </w:tcPr>
          <w:p w:rsidR="006E5E77" w:rsidRPr="005D27A9" w:rsidRDefault="006E5E77" w:rsidP="00EE6B4A">
            <w:pPr>
              <w:pStyle w:val="ColorfulList-Accent11"/>
              <w:adjustRightInd w:val="0"/>
              <w:spacing w:after="80"/>
              <w:ind w:left="39"/>
              <w:contextualSpacing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maintain staff morale, in order to ensure the office continues to function effectively throughout the closure process and to minimise the risk of internal threats from disgruntled staff.</w:t>
            </w:r>
          </w:p>
          <w:p w:rsidR="006E5E77" w:rsidRPr="005D27A9" w:rsidRDefault="006E5E77" w:rsidP="00EE6B4A">
            <w:pPr>
              <w:pStyle w:val="ColorfulList-Accent11"/>
              <w:adjustRightInd w:val="0"/>
              <w:spacing w:after="80"/>
              <w:ind w:left="40"/>
              <w:contextualSpacing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make sure that consistent messaging is passed by staff to</w:t>
            </w:r>
            <w:r w:rsid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the wider community (beneficiaries and other stakeholders) to</w:t>
            </w:r>
            <w:r w:rsid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minimise security risks.</w:t>
            </w:r>
          </w:p>
          <w:p w:rsidR="005D7AE8" w:rsidRPr="005D27A9" w:rsidRDefault="006E5E77" w:rsidP="005D27A9">
            <w:pPr>
              <w:pStyle w:val="ColorfulList-Accent11"/>
              <w:adjustRightInd w:val="0"/>
              <w:ind w:left="39"/>
              <w:contextualSpacing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manage expectations.</w:t>
            </w:r>
          </w:p>
        </w:tc>
        <w:tc>
          <w:tcPr>
            <w:tcW w:w="2552" w:type="dxa"/>
          </w:tcPr>
          <w:p w:rsidR="006E5E77" w:rsidRPr="005D27A9" w:rsidRDefault="006E5E77" w:rsidP="00EE6B4A">
            <w:pPr>
              <w:pStyle w:val="ColorfulList-Accent11"/>
              <w:adjustRightInd w:val="0"/>
              <w:spacing w:after="80"/>
              <w:ind w:left="0"/>
              <w:contextualSpacing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What is happening to</w:t>
            </w:r>
            <w:r w:rsidR="00EE6B4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the office and why, and how this will affect the individual and the programmes.</w:t>
            </w:r>
          </w:p>
          <w:p w:rsidR="005D7AE8" w:rsidRPr="005D27A9" w:rsidRDefault="006E5E77" w:rsidP="00063CC7">
            <w:pPr>
              <w:pStyle w:val="ColorfulList-Accent11"/>
              <w:adjustRightInd w:val="0"/>
              <w:ind w:left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The timescale and</w:t>
            </w:r>
            <w:r w:rsid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steps that will be</w:t>
            </w:r>
            <w:r w:rsid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followed and what should the individuals’ expectations be.</w:t>
            </w:r>
          </w:p>
        </w:tc>
        <w:tc>
          <w:tcPr>
            <w:tcW w:w="1417" w:type="dxa"/>
          </w:tcPr>
          <w:p w:rsidR="005D7AE8" w:rsidRPr="005D27A9" w:rsidRDefault="006E5E77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Individual meetings, followed by official letter</w:t>
            </w:r>
          </w:p>
        </w:tc>
        <w:tc>
          <w:tcPr>
            <w:tcW w:w="1417" w:type="dxa"/>
          </w:tcPr>
          <w:p w:rsidR="005D7AE8" w:rsidRPr="005D27A9" w:rsidRDefault="006E5E77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Line Manager HR Manager Head of Office</w:t>
            </w:r>
          </w:p>
        </w:tc>
      </w:tr>
      <w:tr w:rsidR="00EE6B4A" w:rsidRPr="005D7AE8" w:rsidTr="00EE6B4A">
        <w:tc>
          <w:tcPr>
            <w:tcW w:w="1526" w:type="dxa"/>
          </w:tcPr>
          <w:p w:rsidR="005D7AE8" w:rsidRPr="005D27A9" w:rsidRDefault="006E5E77" w:rsidP="005D7AE8">
            <w:pPr>
              <w:pStyle w:val="Pa3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Wider organisational staff</w:t>
            </w:r>
          </w:p>
        </w:tc>
        <w:tc>
          <w:tcPr>
            <w:tcW w:w="3402" w:type="dxa"/>
          </w:tcPr>
          <w:p w:rsidR="005D27A9" w:rsidRPr="005D27A9" w:rsidRDefault="005D27A9" w:rsidP="00EE6B4A">
            <w:pPr>
              <w:pStyle w:val="ColorfulList-Accent11"/>
              <w:adjustRightInd w:val="0"/>
              <w:spacing w:after="80"/>
              <w:ind w:left="39"/>
              <w:contextualSpacing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make certain that a consistent message is disseminated throughout the organisation and wider community.</w:t>
            </w:r>
          </w:p>
          <w:p w:rsidR="005D27A9" w:rsidRPr="005D27A9" w:rsidRDefault="005D27A9" w:rsidP="00EE6B4A">
            <w:pPr>
              <w:pStyle w:val="ColorfulList-Accent11"/>
              <w:adjustRightInd w:val="0"/>
              <w:spacing w:after="80"/>
              <w:ind w:left="40"/>
              <w:contextualSpacing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maintain staff morale and ensure support is available for the office closure process if required.</w:t>
            </w:r>
          </w:p>
          <w:p w:rsidR="005D7AE8" w:rsidRPr="005D27A9" w:rsidRDefault="005D27A9" w:rsidP="00063CC7">
            <w:pPr>
              <w:pStyle w:val="ColorfulList-Accent11"/>
              <w:adjustRightInd w:val="0"/>
              <w:ind w:left="39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minimise the risk of internal</w:t>
            </w:r>
            <w:r w:rsid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and external security threats.</w:t>
            </w:r>
          </w:p>
        </w:tc>
        <w:tc>
          <w:tcPr>
            <w:tcW w:w="2552" w:type="dxa"/>
          </w:tcPr>
          <w:p w:rsidR="005D7AE8" w:rsidRPr="005D27A9" w:rsidRDefault="005D27A9" w:rsidP="00063CC7">
            <w:pPr>
              <w:pStyle w:val="ColorfulList-Accent11"/>
              <w:adjustRightInd w:val="0"/>
              <w:ind w:left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What is happening to</w:t>
            </w:r>
            <w:r w:rsid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the office and why,</w:t>
            </w:r>
            <w:r w:rsid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and how this will affect colleagues and the programmes. The timescale and steps that will be taken.</w:t>
            </w:r>
          </w:p>
        </w:tc>
        <w:tc>
          <w:tcPr>
            <w:tcW w:w="1417" w:type="dxa"/>
          </w:tcPr>
          <w:p w:rsidR="005D7AE8" w:rsidRPr="005D27A9" w:rsidRDefault="005D27A9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General announcement on internal website, email, newsletter</w:t>
            </w:r>
          </w:p>
        </w:tc>
        <w:tc>
          <w:tcPr>
            <w:tcW w:w="1417" w:type="dxa"/>
          </w:tcPr>
          <w:p w:rsidR="005D7AE8" w:rsidRPr="005D27A9" w:rsidRDefault="005D27A9" w:rsidP="005D27A9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Country Director</w:t>
            </w:r>
          </w:p>
        </w:tc>
      </w:tr>
      <w:tr w:rsidR="00EE6B4A" w:rsidRPr="005D7AE8" w:rsidTr="00EE6B4A">
        <w:tc>
          <w:tcPr>
            <w:tcW w:w="1526" w:type="dxa"/>
          </w:tcPr>
          <w:p w:rsidR="005D7AE8" w:rsidRPr="005D27A9" w:rsidRDefault="006E5E77" w:rsidP="005D7AE8">
            <w:pPr>
              <w:pStyle w:val="Pa3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Partners</w:t>
            </w:r>
          </w:p>
        </w:tc>
        <w:tc>
          <w:tcPr>
            <w:tcW w:w="3402" w:type="dxa"/>
          </w:tcPr>
          <w:p w:rsidR="005D27A9" w:rsidRPr="005D27A9" w:rsidRDefault="005D27A9" w:rsidP="00EE6B4A">
            <w:pPr>
              <w:pStyle w:val="ColorfulList-Accent11"/>
              <w:adjustRightInd w:val="0"/>
              <w:spacing w:after="80"/>
              <w:ind w:left="39"/>
              <w:contextualSpacing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maintain an effective and functioning partnership throughout the closure process so that programmes can be completed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as planned.</w:t>
            </w:r>
          </w:p>
          <w:p w:rsidR="005D27A9" w:rsidRPr="005D27A9" w:rsidRDefault="005D27A9" w:rsidP="00EE6B4A">
            <w:pPr>
              <w:pStyle w:val="ColorfulList-Accent11"/>
              <w:adjustRightInd w:val="0"/>
              <w:spacing w:after="80"/>
              <w:ind w:left="40"/>
              <w:contextualSpacing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ensure a consistent message is disseminated throughout the partner organisation and to the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wider community.</w:t>
            </w:r>
          </w:p>
          <w:p w:rsidR="005D7AE8" w:rsidRPr="005D27A9" w:rsidRDefault="005D27A9" w:rsidP="005D27A9">
            <w:pPr>
              <w:pStyle w:val="ColorfulList-Accent11"/>
              <w:adjustRightInd w:val="0"/>
              <w:ind w:left="39"/>
              <w:contextualSpacing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minimise the risk of external security threats.</w:t>
            </w:r>
          </w:p>
        </w:tc>
        <w:tc>
          <w:tcPr>
            <w:tcW w:w="2552" w:type="dxa"/>
          </w:tcPr>
          <w:p w:rsidR="005D27A9" w:rsidRPr="005D27A9" w:rsidRDefault="005D27A9" w:rsidP="00EE6B4A">
            <w:pPr>
              <w:pStyle w:val="ColorfulList-Accent11"/>
              <w:adjustRightInd w:val="0"/>
              <w:spacing w:after="80"/>
              <w:ind w:left="0"/>
              <w:contextualSpacing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What is happening to the office and why, how this will affect the partner and the partner’s programmes.</w:t>
            </w:r>
          </w:p>
          <w:p w:rsidR="005D27A9" w:rsidRPr="005D27A9" w:rsidRDefault="005D27A9" w:rsidP="00EE6B4A">
            <w:pPr>
              <w:pStyle w:val="ColorfulList-Accent11"/>
              <w:adjustRightInd w:val="0"/>
              <w:spacing w:after="80"/>
              <w:ind w:left="0"/>
              <w:contextualSpacing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The timescale and steps that will be taken.</w:t>
            </w:r>
          </w:p>
          <w:p w:rsidR="005D7AE8" w:rsidRPr="005D27A9" w:rsidRDefault="005D27A9" w:rsidP="005D27A9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How this information should be disseminated to beneficiaries and the wider community.</w:t>
            </w:r>
          </w:p>
        </w:tc>
        <w:tc>
          <w:tcPr>
            <w:tcW w:w="1417" w:type="dxa"/>
          </w:tcPr>
          <w:p w:rsidR="005D7AE8" w:rsidRPr="005D27A9" w:rsidRDefault="005D27A9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Individual meetings, followed by official letter / ongoing working contact</w:t>
            </w:r>
          </w:p>
        </w:tc>
        <w:tc>
          <w:tcPr>
            <w:tcW w:w="1417" w:type="dxa"/>
          </w:tcPr>
          <w:p w:rsidR="005D7AE8" w:rsidRPr="005D27A9" w:rsidRDefault="005D27A9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Country Director/ Senior Manager / Programme staff</w:t>
            </w:r>
          </w:p>
        </w:tc>
      </w:tr>
      <w:tr w:rsidR="00EE6B4A" w:rsidRPr="005D7AE8" w:rsidTr="00EE6B4A">
        <w:tc>
          <w:tcPr>
            <w:tcW w:w="1526" w:type="dxa"/>
          </w:tcPr>
          <w:p w:rsidR="005D7AE8" w:rsidRPr="005D27A9" w:rsidRDefault="006E5E77" w:rsidP="005D7AE8">
            <w:pPr>
              <w:pStyle w:val="Pa3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Beneficiaries</w:t>
            </w:r>
          </w:p>
        </w:tc>
        <w:tc>
          <w:tcPr>
            <w:tcW w:w="3402" w:type="dxa"/>
          </w:tcPr>
          <w:p w:rsidR="005D27A9" w:rsidRPr="005D27A9" w:rsidRDefault="005D27A9" w:rsidP="00EE6B4A">
            <w:pPr>
              <w:pStyle w:val="ColorfulList-Accent11"/>
              <w:adjustRightInd w:val="0"/>
              <w:spacing w:after="80"/>
              <w:ind w:left="39"/>
              <w:contextualSpacing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maintain the (positive) reputation of the organisation and to ensure the acceptance (and community-based protection) security strategies continue.</w:t>
            </w:r>
          </w:p>
          <w:p w:rsidR="005D27A9" w:rsidRPr="005D27A9" w:rsidRDefault="005D27A9" w:rsidP="00EE6B4A">
            <w:pPr>
              <w:pStyle w:val="ColorfulList-Accent11"/>
              <w:adjustRightInd w:val="0"/>
              <w:spacing w:after="80"/>
              <w:ind w:left="39"/>
              <w:contextualSpacing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ensure beneficiaries understand what the changes will mean for them, and to manage their expectations.</w:t>
            </w:r>
          </w:p>
          <w:p w:rsidR="005D7AE8" w:rsidRPr="005D27A9" w:rsidRDefault="005D27A9" w:rsidP="005D27A9">
            <w:pPr>
              <w:pStyle w:val="ColorfulList-Accent11"/>
              <w:adjustRightInd w:val="0"/>
              <w:ind w:left="39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minimise security threats to staff and assets and allow the programmes to be completed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as planned.</w:t>
            </w:r>
          </w:p>
        </w:tc>
        <w:tc>
          <w:tcPr>
            <w:tcW w:w="2552" w:type="dxa"/>
          </w:tcPr>
          <w:p w:rsidR="005D27A9" w:rsidRPr="005D27A9" w:rsidRDefault="005D27A9" w:rsidP="00EE6B4A">
            <w:pPr>
              <w:pStyle w:val="ColorfulList-Accent11"/>
              <w:adjustRightInd w:val="0"/>
              <w:spacing w:after="80"/>
              <w:ind w:left="0"/>
              <w:contextualSpacing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Highlight the (positive) impacts that the organisation has achieved. Emphasise sustainability measures for beneficiaries, as well as partners, suppliers and staff.</w:t>
            </w:r>
          </w:p>
          <w:p w:rsidR="005D27A9" w:rsidRPr="005D27A9" w:rsidRDefault="005D27A9" w:rsidP="00EE6B4A">
            <w:pPr>
              <w:pStyle w:val="ColorfulList-Accent11"/>
              <w:adjustRightInd w:val="0"/>
              <w:spacing w:after="80"/>
              <w:ind w:left="0"/>
              <w:contextualSpacing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Explain the context and reasons for closure.</w:t>
            </w:r>
          </w:p>
          <w:p w:rsidR="005D7AE8" w:rsidRPr="005D27A9" w:rsidRDefault="005D27A9" w:rsidP="005D27A9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Explain the programme exit strategy.</w:t>
            </w:r>
          </w:p>
        </w:tc>
        <w:tc>
          <w:tcPr>
            <w:tcW w:w="1417" w:type="dxa"/>
          </w:tcPr>
          <w:p w:rsidR="005D7AE8" w:rsidRPr="005D27A9" w:rsidRDefault="005D27A9" w:rsidP="00063CC7"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Group meetings, feedback mechanisms, community focal points</w:t>
            </w:r>
          </w:p>
        </w:tc>
        <w:tc>
          <w:tcPr>
            <w:tcW w:w="1417" w:type="dxa"/>
          </w:tcPr>
          <w:p w:rsidR="005D7AE8" w:rsidRPr="005D27A9" w:rsidRDefault="005D27A9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27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Senior Manager/ Programme Managers and Field Officers</w:t>
            </w:r>
          </w:p>
        </w:tc>
      </w:tr>
    </w:tbl>
    <w:p w:rsidR="00457B5A" w:rsidRDefault="00457B5A" w:rsidP="005D7AE8">
      <w:pPr>
        <w:pStyle w:val="ColorfulList-Accent11"/>
        <w:adjustRightInd w:val="0"/>
        <w:ind w:left="0"/>
        <w:contextualSpacing w:val="0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tbl>
      <w:tblPr>
        <w:tblStyle w:val="TableGrid"/>
        <w:tblW w:w="1031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84"/>
        <w:gridCol w:w="3260"/>
        <w:gridCol w:w="2410"/>
        <w:gridCol w:w="1559"/>
        <w:gridCol w:w="1701"/>
      </w:tblGrid>
      <w:tr w:rsidR="00063CC7" w:rsidRPr="00063CC7" w:rsidTr="007E7B69">
        <w:tc>
          <w:tcPr>
            <w:tcW w:w="1384" w:type="dxa"/>
            <w:shd w:val="clear" w:color="auto" w:fill="D9F3DD"/>
          </w:tcPr>
          <w:p w:rsidR="00063CC7" w:rsidRPr="00063CC7" w:rsidRDefault="00063CC7" w:rsidP="00063CC7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shd w:val="clear" w:color="auto" w:fill="D9F3DD"/>
          </w:tcPr>
          <w:p w:rsidR="00063CC7" w:rsidRPr="00063CC7" w:rsidRDefault="00063CC7" w:rsidP="00063CC7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063C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Objective</w:t>
            </w:r>
          </w:p>
        </w:tc>
        <w:tc>
          <w:tcPr>
            <w:tcW w:w="2410" w:type="dxa"/>
            <w:shd w:val="clear" w:color="auto" w:fill="D9F3DD"/>
          </w:tcPr>
          <w:p w:rsidR="00063CC7" w:rsidRPr="00063CC7" w:rsidRDefault="00063CC7" w:rsidP="00063CC7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063C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Key messages</w:t>
            </w:r>
          </w:p>
        </w:tc>
        <w:tc>
          <w:tcPr>
            <w:tcW w:w="1559" w:type="dxa"/>
            <w:shd w:val="clear" w:color="auto" w:fill="D9F3DD"/>
          </w:tcPr>
          <w:p w:rsidR="00063CC7" w:rsidRPr="00063CC7" w:rsidRDefault="00063CC7" w:rsidP="00063CC7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063C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Method</w:t>
            </w:r>
          </w:p>
        </w:tc>
        <w:tc>
          <w:tcPr>
            <w:tcW w:w="1701" w:type="dxa"/>
            <w:shd w:val="clear" w:color="auto" w:fill="D9F3DD"/>
          </w:tcPr>
          <w:p w:rsidR="00063CC7" w:rsidRPr="00063CC7" w:rsidRDefault="00063CC7" w:rsidP="00063CC7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063C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Person responsible</w:t>
            </w:r>
          </w:p>
        </w:tc>
      </w:tr>
      <w:tr w:rsidR="00063CC7" w:rsidRPr="00063CC7" w:rsidTr="00EE6B4A">
        <w:tc>
          <w:tcPr>
            <w:tcW w:w="1384" w:type="dxa"/>
          </w:tcPr>
          <w:p w:rsidR="00063CC7" w:rsidRPr="00063CC7" w:rsidRDefault="00063CC7" w:rsidP="00685E12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Key contacts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in the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community,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neighbours,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religious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leaders,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community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leaders,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teachers</w:t>
            </w:r>
          </w:p>
        </w:tc>
        <w:tc>
          <w:tcPr>
            <w:tcW w:w="3260" w:type="dxa"/>
          </w:tcPr>
          <w:p w:rsidR="00063CC7" w:rsidRPr="00063CC7" w:rsidRDefault="00063CC7" w:rsidP="00D87144">
            <w:pPr>
              <w:adjustRightInd w:val="0"/>
              <w:spacing w:after="80"/>
              <w:ind w:left="39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alert neighbours and other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contacts to changes in routine at the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office or compound.</w:t>
            </w:r>
          </w:p>
          <w:p w:rsidR="00063CC7" w:rsidRPr="00063CC7" w:rsidRDefault="00063CC7" w:rsidP="00D87144">
            <w:pPr>
              <w:adjustRightInd w:val="0"/>
              <w:spacing w:after="80"/>
              <w:ind w:left="39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maintain the (positive)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reputation of the organisation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and to ensure the acceptance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(and community-based protection)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security strategies continue.</w:t>
            </w:r>
          </w:p>
          <w:p w:rsidR="00063CC7" w:rsidRPr="00063CC7" w:rsidRDefault="00063CC7" w:rsidP="00685E12">
            <w:pPr>
              <w:adjustRightInd w:val="0"/>
              <w:ind w:left="39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minimise security threats to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staff and assets and allow the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programmes to be completed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as planned.</w:t>
            </w:r>
          </w:p>
        </w:tc>
        <w:tc>
          <w:tcPr>
            <w:tcW w:w="2410" w:type="dxa"/>
          </w:tcPr>
          <w:p w:rsidR="00063CC7" w:rsidRPr="00063CC7" w:rsidRDefault="00063CC7" w:rsidP="00D87144">
            <w:pPr>
              <w:adjustRightInd w:val="0"/>
              <w:spacing w:after="8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Highlight the (positive)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impacts that the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organisation has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achieved. Emphasise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sustainability measures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for beneficiaries, as well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as partners, suppliers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and staff.</w:t>
            </w:r>
          </w:p>
          <w:p w:rsidR="00063CC7" w:rsidRPr="00063CC7" w:rsidRDefault="00063CC7" w:rsidP="00685E12">
            <w:pPr>
              <w:adjustRightInd w:val="0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Explain the context and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reasons for closure.</w:t>
            </w:r>
          </w:p>
        </w:tc>
        <w:tc>
          <w:tcPr>
            <w:tcW w:w="1559" w:type="dxa"/>
          </w:tcPr>
          <w:p w:rsidR="00063CC7" w:rsidRPr="00063CC7" w:rsidRDefault="00063CC7" w:rsidP="00685E12">
            <w:pPr>
              <w:adjustRightInd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Face to face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meetings</w:t>
            </w:r>
          </w:p>
        </w:tc>
        <w:tc>
          <w:tcPr>
            <w:tcW w:w="1701" w:type="dxa"/>
          </w:tcPr>
          <w:p w:rsidR="00063CC7" w:rsidRPr="00063CC7" w:rsidRDefault="00685E12" w:rsidP="00685E12">
            <w:pPr>
              <w:adjustRightInd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Country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Director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Senior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Manager,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Prog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ramme </w:t>
            </w:r>
            <w:r w:rsidRP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/ Field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Manager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and Officers</w:t>
            </w:r>
          </w:p>
        </w:tc>
      </w:tr>
      <w:tr w:rsidR="00063CC7" w:rsidRPr="00063CC7" w:rsidTr="00EE6B4A">
        <w:tc>
          <w:tcPr>
            <w:tcW w:w="1384" w:type="dxa"/>
          </w:tcPr>
          <w:p w:rsidR="00063CC7" w:rsidRPr="00063CC7" w:rsidRDefault="00685E12" w:rsidP="00063CC7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85E12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Community</w:t>
            </w:r>
          </w:p>
        </w:tc>
        <w:tc>
          <w:tcPr>
            <w:tcW w:w="3260" w:type="dxa"/>
          </w:tcPr>
          <w:p w:rsidR="00063CC7" w:rsidRPr="00063CC7" w:rsidRDefault="00063CC7" w:rsidP="00D87144">
            <w:pPr>
              <w:adjustRightInd w:val="0"/>
              <w:spacing w:after="80"/>
              <w:ind w:left="39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maintain the (positive) reputation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of the organisation and to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ensure the acceptance (and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community-based protection)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security strategies continue.</w:t>
            </w:r>
          </w:p>
          <w:p w:rsidR="00063CC7" w:rsidRPr="00063CC7" w:rsidRDefault="00063CC7" w:rsidP="00685E12">
            <w:pPr>
              <w:adjustRightInd w:val="0"/>
              <w:ind w:left="39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minimise security threats to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staff and assets and allow the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programmes to be completed as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planned.</w:t>
            </w:r>
          </w:p>
        </w:tc>
        <w:tc>
          <w:tcPr>
            <w:tcW w:w="2410" w:type="dxa"/>
          </w:tcPr>
          <w:p w:rsidR="00063CC7" w:rsidRPr="00063CC7" w:rsidRDefault="00685E12" w:rsidP="00D87144">
            <w:pPr>
              <w:adjustRightInd w:val="0"/>
              <w:spacing w:after="8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Highlight the (positive) </w:t>
            </w:r>
            <w:r w:rsidR="00063CC7"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impacts that the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063CC7"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organisation has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063CC7"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achieved. Emphasise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063CC7"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sustainability measures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063CC7"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for beneficiaries, as well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063CC7"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as partners, suppliers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063CC7"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and staff.</w:t>
            </w:r>
          </w:p>
          <w:p w:rsidR="00063CC7" w:rsidRPr="00063CC7" w:rsidRDefault="00063CC7" w:rsidP="00685E12">
            <w:pPr>
              <w:adjustRightInd w:val="0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Explain the context and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reasons for closure.</w:t>
            </w:r>
          </w:p>
        </w:tc>
        <w:tc>
          <w:tcPr>
            <w:tcW w:w="1559" w:type="dxa"/>
          </w:tcPr>
          <w:p w:rsidR="00063CC7" w:rsidRPr="00063CC7" w:rsidRDefault="00063CC7" w:rsidP="00063CC7">
            <w:pPr>
              <w:adjustRightInd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Group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meetings,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complaints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comment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mechanisms,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community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focal points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and ongoing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working contact</w:t>
            </w:r>
          </w:p>
        </w:tc>
        <w:tc>
          <w:tcPr>
            <w:tcW w:w="1701" w:type="dxa"/>
          </w:tcPr>
          <w:p w:rsidR="00063CC7" w:rsidRPr="00D87144" w:rsidRDefault="00685E12" w:rsidP="00D8714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Senior</w:t>
            </w:r>
            <w:r w:rsidR="00D87144" w:rsidRP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Manager</w:t>
            </w:r>
            <w:r w:rsidR="00D87144" w:rsidRP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D87144" w:rsidRP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Programme</w:t>
            </w:r>
            <w:r w:rsidR="00D87144" w:rsidRP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Managers</w:t>
            </w:r>
          </w:p>
        </w:tc>
      </w:tr>
      <w:tr w:rsidR="00063CC7" w:rsidRPr="00063CC7" w:rsidTr="00EE6B4A">
        <w:tc>
          <w:tcPr>
            <w:tcW w:w="1384" w:type="dxa"/>
          </w:tcPr>
          <w:p w:rsidR="00063CC7" w:rsidRPr="00063CC7" w:rsidRDefault="00063CC7" w:rsidP="00685E12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Other NGOs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/ UN</w:t>
            </w:r>
          </w:p>
        </w:tc>
        <w:tc>
          <w:tcPr>
            <w:tcW w:w="3260" w:type="dxa"/>
          </w:tcPr>
          <w:p w:rsidR="00063CC7" w:rsidRPr="00063CC7" w:rsidRDefault="00063CC7" w:rsidP="00D87144">
            <w:pPr>
              <w:adjustRightInd w:val="0"/>
              <w:spacing w:after="80"/>
              <w:ind w:left="39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maintain consistent messaging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throughout.</w:t>
            </w:r>
          </w:p>
          <w:p w:rsidR="00063CC7" w:rsidRPr="00063CC7" w:rsidRDefault="00063CC7" w:rsidP="00D87144">
            <w:pPr>
              <w:adjustRightInd w:val="0"/>
              <w:spacing w:after="80"/>
              <w:ind w:left="39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ensure your actions do not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increase security risks to the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broader international community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and vice versa.</w:t>
            </w:r>
          </w:p>
          <w:p w:rsidR="00063CC7" w:rsidRPr="00063CC7" w:rsidRDefault="00063CC7" w:rsidP="00685E12">
            <w:pPr>
              <w:adjustRightInd w:val="0"/>
              <w:ind w:left="39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increase opportunities for staff to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find alternative employ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ment.</w:t>
            </w:r>
          </w:p>
        </w:tc>
        <w:tc>
          <w:tcPr>
            <w:tcW w:w="2410" w:type="dxa"/>
          </w:tcPr>
          <w:p w:rsidR="00063CC7" w:rsidRPr="00063CC7" w:rsidRDefault="00063CC7" w:rsidP="00D87144">
            <w:pPr>
              <w:adjustRightInd w:val="0"/>
              <w:spacing w:after="8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What is happening, when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and why.</w:t>
            </w:r>
          </w:p>
          <w:p w:rsidR="00063CC7" w:rsidRPr="00063CC7" w:rsidRDefault="00063CC7" w:rsidP="00D87144">
            <w:pPr>
              <w:adjustRightInd w:val="0"/>
              <w:spacing w:after="8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What information has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been shared with staff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beneficiaries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community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authorities, etc.</w:t>
            </w:r>
          </w:p>
          <w:p w:rsidR="00063CC7" w:rsidRPr="00063CC7" w:rsidRDefault="00063CC7" w:rsidP="00D87144">
            <w:pPr>
              <w:adjustRightInd w:val="0"/>
              <w:spacing w:after="8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Ongoing activities of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communities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partners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staff for sustainability or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final operations.</w:t>
            </w:r>
          </w:p>
          <w:p w:rsidR="00063CC7" w:rsidRPr="00063CC7" w:rsidRDefault="00063CC7" w:rsidP="00685E12">
            <w:pPr>
              <w:adjustRightInd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Details of programmes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and staff competencies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as appropriate.</w:t>
            </w:r>
          </w:p>
        </w:tc>
        <w:tc>
          <w:tcPr>
            <w:tcW w:w="1559" w:type="dxa"/>
          </w:tcPr>
          <w:p w:rsidR="00063CC7" w:rsidRPr="00063CC7" w:rsidRDefault="00063CC7" w:rsidP="00D87144">
            <w:pPr>
              <w:adjustRightInd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Cluster and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Coordination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meetings,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letter, group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meeting, press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release, local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radio, media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announcement</w:t>
            </w:r>
          </w:p>
        </w:tc>
        <w:tc>
          <w:tcPr>
            <w:tcW w:w="1701" w:type="dxa"/>
          </w:tcPr>
          <w:p w:rsidR="00063CC7" w:rsidRPr="00063CC7" w:rsidRDefault="00685E12" w:rsidP="00D87144">
            <w:pPr>
              <w:adjustRightInd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Country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Director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Senior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Manager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Cluster lead</w:t>
            </w:r>
          </w:p>
        </w:tc>
      </w:tr>
      <w:tr w:rsidR="00063CC7" w:rsidRPr="00063CC7" w:rsidTr="00EE6B4A">
        <w:tc>
          <w:tcPr>
            <w:tcW w:w="1384" w:type="dxa"/>
          </w:tcPr>
          <w:p w:rsidR="00063CC7" w:rsidRPr="00063CC7" w:rsidRDefault="00063CC7" w:rsidP="00685E12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Local and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national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government</w:t>
            </w:r>
          </w:p>
        </w:tc>
        <w:tc>
          <w:tcPr>
            <w:tcW w:w="3260" w:type="dxa"/>
          </w:tcPr>
          <w:p w:rsidR="00063CC7" w:rsidRPr="00063CC7" w:rsidRDefault="00063CC7" w:rsidP="00D87144">
            <w:pPr>
              <w:adjustRightInd w:val="0"/>
              <w:spacing w:after="80"/>
              <w:ind w:left="39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ensure that the authorities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support the closure process rather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than hinder it.</w:t>
            </w:r>
          </w:p>
          <w:p w:rsidR="00063CC7" w:rsidRPr="00063CC7" w:rsidRDefault="00063CC7" w:rsidP="00D87144">
            <w:pPr>
              <w:adjustRightInd w:val="0"/>
              <w:spacing w:after="80"/>
              <w:ind w:left="39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maintain consistent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messaging throughout and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minimise security risks.</w:t>
            </w:r>
          </w:p>
          <w:p w:rsidR="00063CC7" w:rsidRPr="00063CC7" w:rsidRDefault="00063CC7" w:rsidP="00D87144">
            <w:pPr>
              <w:adjustRightInd w:val="0"/>
              <w:spacing w:after="80"/>
              <w:ind w:left="39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maintain (positive) reputation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 case of return and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or minimise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negative consequences in other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areas of operation.</w:t>
            </w:r>
          </w:p>
          <w:p w:rsidR="00685E12" w:rsidRDefault="00063CC7" w:rsidP="00D87144">
            <w:pPr>
              <w:adjustRightInd w:val="0"/>
              <w:spacing w:after="80"/>
              <w:ind w:left="39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be certain that all legal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requirements are met.</w:t>
            </w:r>
          </w:p>
          <w:p w:rsidR="00063CC7" w:rsidRPr="00063CC7" w:rsidRDefault="00063CC7" w:rsidP="00685E12">
            <w:pPr>
              <w:adjustRightInd w:val="0"/>
              <w:ind w:left="39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manage expectations.</w:t>
            </w:r>
          </w:p>
        </w:tc>
        <w:tc>
          <w:tcPr>
            <w:tcW w:w="2410" w:type="dxa"/>
          </w:tcPr>
          <w:p w:rsidR="00063CC7" w:rsidRPr="00063CC7" w:rsidRDefault="00063CC7" w:rsidP="00D87144">
            <w:pPr>
              <w:adjustRightInd w:val="0"/>
              <w:spacing w:after="8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Explain the context and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reasons for closure.</w:t>
            </w:r>
          </w:p>
          <w:p w:rsidR="00063CC7" w:rsidRPr="00063CC7" w:rsidRDefault="00063CC7" w:rsidP="00D87144">
            <w:pPr>
              <w:adjustRightInd w:val="0"/>
              <w:spacing w:after="8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Highlight the (positive)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impacts that the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organisation has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achieved. Emphasise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sustainability measures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for beneficiaries, as well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as partners, suppliers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and staff.</w:t>
            </w:r>
          </w:p>
          <w:p w:rsidR="00063CC7" w:rsidRPr="00063CC7" w:rsidRDefault="00063CC7" w:rsidP="00685E12">
            <w:pPr>
              <w:adjustRightInd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Meet any legal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requirements.</w:t>
            </w:r>
          </w:p>
        </w:tc>
        <w:tc>
          <w:tcPr>
            <w:tcW w:w="1559" w:type="dxa"/>
          </w:tcPr>
          <w:p w:rsidR="00063CC7" w:rsidRPr="00063CC7" w:rsidRDefault="00063CC7" w:rsidP="00685E12"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Face-to-face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meetings if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appropriate,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followed up with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official letter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and continued</w:t>
            </w:r>
            <w:r w:rsid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63C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updates</w:t>
            </w:r>
          </w:p>
        </w:tc>
        <w:tc>
          <w:tcPr>
            <w:tcW w:w="1701" w:type="dxa"/>
          </w:tcPr>
          <w:p w:rsidR="00063CC7" w:rsidRPr="00063CC7" w:rsidRDefault="00685E12" w:rsidP="00D87144">
            <w:pPr>
              <w:adjustRightInd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Country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Director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Senior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Manager /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Security</w:t>
            </w:r>
            <w:r w:rsidR="00D8714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685E1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Manager</w:t>
            </w:r>
          </w:p>
        </w:tc>
      </w:tr>
    </w:tbl>
    <w:p w:rsidR="00063CC7" w:rsidRDefault="00063CC7" w:rsidP="005D7AE8">
      <w:pPr>
        <w:pStyle w:val="ColorfulList-Accent11"/>
        <w:adjustRightInd w:val="0"/>
        <w:ind w:left="0"/>
        <w:contextualSpacing w:val="0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D87144" w:rsidRDefault="00D87144" w:rsidP="005D7AE8">
      <w:pPr>
        <w:pStyle w:val="ColorfulList-Accent11"/>
        <w:adjustRightInd w:val="0"/>
        <w:ind w:left="0"/>
        <w:contextualSpacing w:val="0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tbl>
      <w:tblPr>
        <w:tblStyle w:val="TableGrid"/>
        <w:tblW w:w="1031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84"/>
        <w:gridCol w:w="3260"/>
        <w:gridCol w:w="2410"/>
        <w:gridCol w:w="1559"/>
        <w:gridCol w:w="1701"/>
      </w:tblGrid>
      <w:tr w:rsidR="00D87144" w:rsidRPr="00063CC7" w:rsidTr="007E7B69">
        <w:tc>
          <w:tcPr>
            <w:tcW w:w="1384" w:type="dxa"/>
            <w:shd w:val="clear" w:color="auto" w:fill="D9F3DD"/>
          </w:tcPr>
          <w:p w:rsidR="00D87144" w:rsidRPr="00063CC7" w:rsidRDefault="00D87144" w:rsidP="0054581F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shd w:val="clear" w:color="auto" w:fill="D9F3DD"/>
          </w:tcPr>
          <w:p w:rsidR="00D87144" w:rsidRPr="00063CC7" w:rsidRDefault="00D87144" w:rsidP="0054581F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063C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Objective</w:t>
            </w:r>
          </w:p>
        </w:tc>
        <w:tc>
          <w:tcPr>
            <w:tcW w:w="2410" w:type="dxa"/>
            <w:shd w:val="clear" w:color="auto" w:fill="D9F3DD"/>
          </w:tcPr>
          <w:p w:rsidR="00D87144" w:rsidRPr="00063CC7" w:rsidRDefault="00D87144" w:rsidP="0054581F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063C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Key messages</w:t>
            </w:r>
          </w:p>
        </w:tc>
        <w:tc>
          <w:tcPr>
            <w:tcW w:w="1559" w:type="dxa"/>
            <w:shd w:val="clear" w:color="auto" w:fill="D9F3DD"/>
          </w:tcPr>
          <w:p w:rsidR="00D87144" w:rsidRPr="00063CC7" w:rsidRDefault="00D87144" w:rsidP="0054581F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063C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Method</w:t>
            </w:r>
          </w:p>
        </w:tc>
        <w:tc>
          <w:tcPr>
            <w:tcW w:w="1701" w:type="dxa"/>
            <w:shd w:val="clear" w:color="auto" w:fill="D9F3DD"/>
          </w:tcPr>
          <w:p w:rsidR="00D87144" w:rsidRPr="00063CC7" w:rsidRDefault="00D87144" w:rsidP="0054581F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063C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Person responsible</w:t>
            </w:r>
          </w:p>
        </w:tc>
      </w:tr>
      <w:tr w:rsidR="00D87144" w:rsidRPr="00063CC7" w:rsidTr="00EE6B4A">
        <w:tc>
          <w:tcPr>
            <w:tcW w:w="1384" w:type="dxa"/>
          </w:tcPr>
          <w:p w:rsidR="00D87144" w:rsidRPr="00063CC7" w:rsidRDefault="00024E38" w:rsidP="00024E38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Military /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Police</w:t>
            </w:r>
          </w:p>
        </w:tc>
        <w:tc>
          <w:tcPr>
            <w:tcW w:w="3260" w:type="dxa"/>
          </w:tcPr>
          <w:p w:rsidR="00024E38" w:rsidRPr="00024E38" w:rsidRDefault="00024E38" w:rsidP="00024E38">
            <w:pPr>
              <w:adjustRightInd w:val="0"/>
              <w:spacing w:after="80"/>
              <w:ind w:left="39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ensure that the military and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police support the closure process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rather than hinder it.</w:t>
            </w:r>
          </w:p>
          <w:p w:rsidR="00024E38" w:rsidRPr="00024E38" w:rsidRDefault="00024E38" w:rsidP="00024E38">
            <w:pPr>
              <w:adjustRightInd w:val="0"/>
              <w:spacing w:after="80"/>
              <w:ind w:left="39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maintain consistent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messaging throughout and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minimise security risks.</w:t>
            </w:r>
          </w:p>
          <w:p w:rsidR="00024E38" w:rsidRPr="00024E38" w:rsidRDefault="00024E38" w:rsidP="00024E38">
            <w:pPr>
              <w:adjustRightInd w:val="0"/>
              <w:spacing w:after="80"/>
              <w:ind w:left="39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maintain (positive) reputation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 case of return and/or minimise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negative consequences in other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areas of operation.</w:t>
            </w:r>
          </w:p>
          <w:p w:rsidR="00D87144" w:rsidRPr="00063CC7" w:rsidRDefault="00024E38" w:rsidP="00024E38">
            <w:pPr>
              <w:adjustRightInd w:val="0"/>
              <w:spacing w:after="80"/>
              <w:ind w:left="39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minimise security threats to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staff and assets and allow the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programmes to be completed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as planned</w:t>
            </w:r>
          </w:p>
        </w:tc>
        <w:tc>
          <w:tcPr>
            <w:tcW w:w="2410" w:type="dxa"/>
          </w:tcPr>
          <w:p w:rsidR="00024E38" w:rsidRPr="00024E38" w:rsidRDefault="00024E38" w:rsidP="00024E38">
            <w:pPr>
              <w:adjustRightInd w:val="0"/>
              <w:spacing w:after="8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Explain the</w:t>
            </w:r>
            <w:bookmarkStart w:id="0" w:name="_GoBack"/>
            <w:bookmarkEnd w:id="0"/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context and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reasons for closure.</w:t>
            </w:r>
          </w:p>
          <w:p w:rsidR="00024E38" w:rsidRPr="00024E38" w:rsidRDefault="00024E38" w:rsidP="00024E38">
            <w:pPr>
              <w:adjustRightInd w:val="0"/>
              <w:spacing w:after="8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Highlight the (positive)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impacts that the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organisation has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achieved. Emphasise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sustainability measures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for beneficiaries,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as well as partners,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suppliers and staff.</w:t>
            </w:r>
          </w:p>
          <w:p w:rsidR="00D87144" w:rsidRPr="00063CC7" w:rsidRDefault="00024E38" w:rsidP="00BC13C4">
            <w:pPr>
              <w:adjustRightInd w:val="0"/>
              <w:spacing w:after="8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Explain any risk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management measures,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if appropriate</w:t>
            </w:r>
          </w:p>
        </w:tc>
        <w:tc>
          <w:tcPr>
            <w:tcW w:w="1559" w:type="dxa"/>
          </w:tcPr>
          <w:p w:rsidR="00D87144" w:rsidRPr="00063CC7" w:rsidRDefault="00024E38" w:rsidP="00BC13C4">
            <w:pPr>
              <w:adjustRightInd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Face to face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meetings,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followed up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with official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letter and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continued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updates</w:t>
            </w:r>
          </w:p>
        </w:tc>
        <w:tc>
          <w:tcPr>
            <w:tcW w:w="1701" w:type="dxa"/>
          </w:tcPr>
          <w:p w:rsidR="00D87144" w:rsidRPr="00063CC7" w:rsidRDefault="00024E38" w:rsidP="00BC13C4">
            <w:pPr>
              <w:adjustRightInd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Country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Director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/ Senior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Manager /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Security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Manager</w:t>
            </w:r>
          </w:p>
        </w:tc>
      </w:tr>
      <w:tr w:rsidR="00D87144" w:rsidRPr="00063CC7" w:rsidTr="00EE6B4A">
        <w:tc>
          <w:tcPr>
            <w:tcW w:w="1384" w:type="dxa"/>
          </w:tcPr>
          <w:p w:rsidR="00D87144" w:rsidRPr="00063CC7" w:rsidRDefault="00024E38" w:rsidP="00024E38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Opposition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groups</w:t>
            </w:r>
          </w:p>
        </w:tc>
        <w:tc>
          <w:tcPr>
            <w:tcW w:w="3260" w:type="dxa"/>
          </w:tcPr>
          <w:p w:rsidR="00024E38" w:rsidRPr="00024E38" w:rsidRDefault="00024E38" w:rsidP="00024E38">
            <w:pPr>
              <w:adjustRightInd w:val="0"/>
              <w:spacing w:after="80"/>
              <w:ind w:left="39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ensure that the groups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support the closure process rather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than hinder it.</w:t>
            </w:r>
          </w:p>
          <w:p w:rsidR="00024E38" w:rsidRPr="00024E38" w:rsidRDefault="00024E38" w:rsidP="00024E38">
            <w:pPr>
              <w:adjustRightInd w:val="0"/>
              <w:spacing w:after="80"/>
              <w:ind w:left="39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maintain consistent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messaging throughout and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minimise security risks.</w:t>
            </w:r>
          </w:p>
          <w:p w:rsidR="00D87144" w:rsidRPr="00063CC7" w:rsidRDefault="00024E38" w:rsidP="00F27907">
            <w:pPr>
              <w:adjustRightInd w:val="0"/>
              <w:spacing w:after="80"/>
              <w:ind w:left="39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maintain (positive) reputation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 case of return and/or minimise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negative consequences in other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areas of operation.</w:t>
            </w:r>
          </w:p>
        </w:tc>
        <w:tc>
          <w:tcPr>
            <w:tcW w:w="2410" w:type="dxa"/>
          </w:tcPr>
          <w:p w:rsidR="00024E38" w:rsidRPr="00024E38" w:rsidRDefault="00024E38" w:rsidP="00024E38">
            <w:pPr>
              <w:adjustRightInd w:val="0"/>
              <w:spacing w:after="8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Explain the context and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reasons for closure.</w:t>
            </w:r>
          </w:p>
          <w:p w:rsidR="00D87144" w:rsidRPr="00063CC7" w:rsidRDefault="00024E38" w:rsidP="00BC13C4">
            <w:pPr>
              <w:adjustRightInd w:val="0"/>
              <w:spacing w:after="8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Highlight the (positive)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impacts that the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organisation has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achieved. Emphasise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sustainability measures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for beneficiaries, as well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as partners, suppliers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and staff.</w:t>
            </w:r>
          </w:p>
        </w:tc>
        <w:tc>
          <w:tcPr>
            <w:tcW w:w="1559" w:type="dxa"/>
          </w:tcPr>
          <w:p w:rsidR="00D87144" w:rsidRPr="00063CC7" w:rsidRDefault="00024E38" w:rsidP="00BC13C4">
            <w:pPr>
              <w:adjustRightInd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Face to face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meeting and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or official letter,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if appropriate</w:t>
            </w:r>
          </w:p>
        </w:tc>
        <w:tc>
          <w:tcPr>
            <w:tcW w:w="1701" w:type="dxa"/>
          </w:tcPr>
          <w:p w:rsidR="00D87144" w:rsidRPr="00D87144" w:rsidRDefault="00024E38" w:rsidP="00F2790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Country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Director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Security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Manager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/ Senior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national staff</w:t>
            </w:r>
          </w:p>
        </w:tc>
      </w:tr>
      <w:tr w:rsidR="00D87144" w:rsidRPr="00063CC7" w:rsidTr="00EE6B4A">
        <w:tc>
          <w:tcPr>
            <w:tcW w:w="1384" w:type="dxa"/>
          </w:tcPr>
          <w:p w:rsidR="00D87144" w:rsidRPr="00063CC7" w:rsidRDefault="00024E38" w:rsidP="0054581F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Suppliers</w:t>
            </w:r>
          </w:p>
        </w:tc>
        <w:tc>
          <w:tcPr>
            <w:tcW w:w="3260" w:type="dxa"/>
          </w:tcPr>
          <w:p w:rsidR="00024E38" w:rsidRPr="00024E38" w:rsidRDefault="00024E38" w:rsidP="00024E38">
            <w:pPr>
              <w:adjustRightInd w:val="0"/>
              <w:spacing w:after="80"/>
              <w:ind w:left="39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maintain an effective and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functioning relationship throughout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the closure process so that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supplies are delivered and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programmes/closure can be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completed as planned.</w:t>
            </w:r>
          </w:p>
          <w:p w:rsidR="00024E38" w:rsidRPr="00024E38" w:rsidRDefault="00024E38" w:rsidP="00024E38">
            <w:pPr>
              <w:adjustRightInd w:val="0"/>
              <w:spacing w:after="80"/>
              <w:ind w:left="39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ensure a consistent message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is disseminated throughout the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supplier organisation and to the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wider community.</w:t>
            </w:r>
          </w:p>
          <w:p w:rsidR="00D87144" w:rsidRPr="00063CC7" w:rsidRDefault="00024E38" w:rsidP="00F27907">
            <w:pPr>
              <w:adjustRightInd w:val="0"/>
              <w:spacing w:after="80"/>
              <w:ind w:left="39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minimise the risk of external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security threats.</w:t>
            </w:r>
          </w:p>
        </w:tc>
        <w:tc>
          <w:tcPr>
            <w:tcW w:w="2410" w:type="dxa"/>
          </w:tcPr>
          <w:p w:rsidR="00024E38" w:rsidRPr="00024E38" w:rsidRDefault="00024E38" w:rsidP="00024E38">
            <w:pPr>
              <w:adjustRightInd w:val="0"/>
              <w:spacing w:after="8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What is happening to the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office and why, how this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will affect the supplier.</w:t>
            </w:r>
          </w:p>
          <w:p w:rsidR="00024E38" w:rsidRPr="00024E38" w:rsidRDefault="00024E38" w:rsidP="00024E38">
            <w:pPr>
              <w:adjustRightInd w:val="0"/>
              <w:spacing w:after="8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The timescale and steps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that will be taken to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complete payment.</w:t>
            </w:r>
          </w:p>
          <w:p w:rsidR="00D87144" w:rsidRPr="00063CC7" w:rsidRDefault="00024E38" w:rsidP="00BC13C4">
            <w:pPr>
              <w:adjustRightInd w:val="0"/>
              <w:spacing w:after="8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How this information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should be disseminated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beneficiaries and the</w:t>
            </w:r>
            <w:r w:rsidR="00BC13C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wider community.</w:t>
            </w:r>
          </w:p>
        </w:tc>
        <w:tc>
          <w:tcPr>
            <w:tcW w:w="1559" w:type="dxa"/>
          </w:tcPr>
          <w:p w:rsidR="00D87144" w:rsidRPr="00063CC7" w:rsidRDefault="00024E38" w:rsidP="00F27907">
            <w:pPr>
              <w:adjustRightInd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Face to face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meeting,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circular,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memo</w:t>
            </w:r>
          </w:p>
        </w:tc>
        <w:tc>
          <w:tcPr>
            <w:tcW w:w="1701" w:type="dxa"/>
          </w:tcPr>
          <w:p w:rsidR="00D87144" w:rsidRPr="00063CC7" w:rsidRDefault="00024E38" w:rsidP="00F27907">
            <w:pPr>
              <w:adjustRightInd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Logistics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Manager</w:t>
            </w:r>
          </w:p>
        </w:tc>
      </w:tr>
      <w:tr w:rsidR="00D87144" w:rsidRPr="00063CC7" w:rsidTr="00EE6B4A">
        <w:tc>
          <w:tcPr>
            <w:tcW w:w="1384" w:type="dxa"/>
          </w:tcPr>
          <w:p w:rsidR="00D87144" w:rsidRPr="00063CC7" w:rsidRDefault="00024E38" w:rsidP="0054581F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Donors</w:t>
            </w:r>
          </w:p>
        </w:tc>
        <w:tc>
          <w:tcPr>
            <w:tcW w:w="3260" w:type="dxa"/>
          </w:tcPr>
          <w:p w:rsidR="00D87144" w:rsidRPr="00063CC7" w:rsidRDefault="00024E38" w:rsidP="00F27907">
            <w:pPr>
              <w:adjustRightInd w:val="0"/>
              <w:spacing w:after="80"/>
              <w:ind w:left="39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ensure that the donor pays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for all costs in accordance with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the contract and that good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relations are maintained for future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funding opportunities.</w:t>
            </w:r>
          </w:p>
        </w:tc>
        <w:tc>
          <w:tcPr>
            <w:tcW w:w="2410" w:type="dxa"/>
          </w:tcPr>
          <w:p w:rsidR="00D87144" w:rsidRPr="00063CC7" w:rsidRDefault="00024E38" w:rsidP="00F27907">
            <w:pPr>
              <w:adjustRightInd w:val="0"/>
              <w:spacing w:after="8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That the closure is in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accordance with good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practice, programme exit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strategy and donor project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agreement. Highlight the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(positive) impacts that the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organisation has achieved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and emphasise the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sustainability measures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for beneficiaries.</w:t>
            </w:r>
          </w:p>
        </w:tc>
        <w:tc>
          <w:tcPr>
            <w:tcW w:w="1559" w:type="dxa"/>
          </w:tcPr>
          <w:p w:rsidR="00D87144" w:rsidRPr="00063CC7" w:rsidRDefault="00024E38" w:rsidP="00F27907"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Face to face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meeting if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feasible,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followed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by official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letter and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continuous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updates</w:t>
            </w:r>
          </w:p>
        </w:tc>
        <w:tc>
          <w:tcPr>
            <w:tcW w:w="1701" w:type="dxa"/>
          </w:tcPr>
          <w:p w:rsidR="00D87144" w:rsidRPr="00063CC7" w:rsidRDefault="00024E38" w:rsidP="00F27907">
            <w:pPr>
              <w:adjustRightInd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Country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Director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Senior</w:t>
            </w:r>
            <w:r w:rsidR="00F2790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24E3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Manager</w:t>
            </w:r>
          </w:p>
        </w:tc>
      </w:tr>
    </w:tbl>
    <w:p w:rsidR="00D87144" w:rsidRPr="00C736D6" w:rsidRDefault="00D87144" w:rsidP="005D7AE8">
      <w:pPr>
        <w:pStyle w:val="ColorfulList-Accent11"/>
        <w:adjustRightInd w:val="0"/>
        <w:ind w:left="0"/>
        <w:contextualSpacing w:val="0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sectPr w:rsidR="00D87144" w:rsidRPr="00C736D6" w:rsidSect="009B0AE9"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40" w:right="1080" w:bottom="1134" w:left="1080" w:header="709" w:footer="56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8A" w:rsidRDefault="009B268A">
      <w:r>
        <w:separator/>
      </w:r>
    </w:p>
  </w:endnote>
  <w:endnote w:type="continuationSeparator" w:id="0">
    <w:p w:rsidR="009B268A" w:rsidRDefault="009B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AG Rounded Std Thin">
    <w:altName w:val="VAG Rounded Std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 Rounded Std Light">
    <w:altName w:val="VAG Rounded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712679"/>
      <w:docPartObj>
        <w:docPartGallery w:val="Page Numbers (Bottom of Page)"/>
        <w:docPartUnique/>
      </w:docPartObj>
    </w:sdtPr>
    <w:sdtEndPr>
      <w:rPr>
        <w:rFonts w:ascii="Arial" w:hAnsi="Arial" w:cs="Arial"/>
        <w:color w:val="39B54A"/>
        <w:sz w:val="20"/>
        <w:szCs w:val="20"/>
      </w:rPr>
    </w:sdtEndPr>
    <w:sdtContent>
      <w:sdt>
        <w:sdtPr>
          <w:rPr>
            <w:rFonts w:ascii="Arial" w:hAnsi="Arial" w:cs="Arial"/>
            <w:color w:val="39B54A"/>
            <w:sz w:val="20"/>
            <w:szCs w:val="20"/>
          </w:rPr>
          <w:id w:val="-2072950837"/>
          <w:docPartObj>
            <w:docPartGallery w:val="Page Numbers (Top of Page)"/>
            <w:docPartUnique/>
          </w:docPartObj>
        </w:sdtPr>
        <w:sdtEndPr/>
        <w:sdtContent>
          <w:p w:rsidR="00845C58" w:rsidRPr="004D51E0" w:rsidRDefault="00845C58" w:rsidP="004D51E0">
            <w:pPr>
              <w:pStyle w:val="Footer"/>
              <w:jc w:val="right"/>
              <w:rPr>
                <w:rFonts w:ascii="Arial" w:hAnsi="Arial" w:cs="Arial"/>
                <w:color w:val="39B54A"/>
                <w:sz w:val="20"/>
                <w:szCs w:val="20"/>
              </w:rPr>
            </w:pPr>
            <w:r w:rsidRPr="004D51E0">
              <w:rPr>
                <w:rFonts w:ascii="Arial" w:hAnsi="Arial" w:cs="Arial"/>
                <w:color w:val="39B54A"/>
                <w:sz w:val="20"/>
                <w:szCs w:val="20"/>
              </w:rPr>
              <w:t xml:space="preserve">Page </w:t>
            </w:r>
            <w:r w:rsidRPr="004D51E0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begin"/>
            </w:r>
            <w:r w:rsidRPr="004D51E0">
              <w:rPr>
                <w:rFonts w:ascii="Arial" w:hAnsi="Arial" w:cs="Arial"/>
                <w:bCs/>
                <w:color w:val="39B54A"/>
                <w:sz w:val="20"/>
                <w:szCs w:val="20"/>
              </w:rPr>
              <w:instrText xml:space="preserve"> PAGE </w:instrText>
            </w:r>
            <w:r w:rsidRPr="004D51E0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separate"/>
            </w:r>
            <w:r w:rsidR="007E7B69">
              <w:rPr>
                <w:rFonts w:ascii="Arial" w:hAnsi="Arial" w:cs="Arial"/>
                <w:bCs/>
                <w:noProof/>
                <w:color w:val="39B54A"/>
                <w:sz w:val="20"/>
                <w:szCs w:val="20"/>
              </w:rPr>
              <w:t>2</w:t>
            </w:r>
            <w:r w:rsidRPr="004D51E0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end"/>
            </w:r>
            <w:r w:rsidR="00FA6357">
              <w:rPr>
                <w:rFonts w:ascii="Arial" w:hAnsi="Arial" w:cs="Arial"/>
                <w:bCs/>
                <w:color w:val="39B54A"/>
                <w:sz w:val="20"/>
                <w:szCs w:val="20"/>
              </w:rPr>
              <w:t xml:space="preserve"> </w:t>
            </w:r>
            <w:r w:rsidRPr="004D51E0">
              <w:rPr>
                <w:rFonts w:ascii="Arial" w:hAnsi="Arial" w:cs="Arial"/>
                <w:color w:val="39B54A"/>
                <w:sz w:val="20"/>
                <w:szCs w:val="20"/>
              </w:rPr>
              <w:t xml:space="preserve">of </w:t>
            </w:r>
            <w:r w:rsidRPr="004D51E0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begin"/>
            </w:r>
            <w:r w:rsidRPr="004D51E0">
              <w:rPr>
                <w:rFonts w:ascii="Arial" w:hAnsi="Arial" w:cs="Arial"/>
                <w:bCs/>
                <w:color w:val="39B54A"/>
                <w:sz w:val="20"/>
                <w:szCs w:val="20"/>
              </w:rPr>
              <w:instrText xml:space="preserve"> NUMPAGES  </w:instrText>
            </w:r>
            <w:r w:rsidRPr="004D51E0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separate"/>
            </w:r>
            <w:r w:rsidR="007E7B69">
              <w:rPr>
                <w:rFonts w:ascii="Arial" w:hAnsi="Arial" w:cs="Arial"/>
                <w:bCs/>
                <w:noProof/>
                <w:color w:val="39B54A"/>
                <w:sz w:val="20"/>
                <w:szCs w:val="20"/>
              </w:rPr>
              <w:t>3</w:t>
            </w:r>
            <w:r w:rsidRPr="004D51E0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287166"/>
      <w:docPartObj>
        <w:docPartGallery w:val="Page Numbers (Bottom of Page)"/>
        <w:docPartUnique/>
      </w:docPartObj>
    </w:sdtPr>
    <w:sdtEndPr>
      <w:rPr>
        <w:rFonts w:ascii="Arial" w:hAnsi="Arial" w:cs="Arial"/>
        <w:color w:val="39B54A"/>
        <w:sz w:val="20"/>
        <w:szCs w:val="20"/>
      </w:rPr>
    </w:sdtEndPr>
    <w:sdtContent>
      <w:sdt>
        <w:sdtPr>
          <w:rPr>
            <w:rFonts w:ascii="Arial" w:hAnsi="Arial" w:cs="Arial"/>
            <w:color w:val="39B54A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848E6" w:rsidRPr="004D51E0" w:rsidRDefault="00445775" w:rsidP="004D51E0">
            <w:pPr>
              <w:pStyle w:val="Footer"/>
              <w:jc w:val="right"/>
              <w:rPr>
                <w:rFonts w:ascii="Arial" w:hAnsi="Arial" w:cs="Arial"/>
                <w:color w:val="39B54A"/>
                <w:sz w:val="20"/>
                <w:szCs w:val="20"/>
              </w:rPr>
            </w:pPr>
            <w:r w:rsidRPr="004D51E0">
              <w:rPr>
                <w:rFonts w:ascii="Arial" w:hAnsi="Arial" w:cs="Arial"/>
                <w:color w:val="39B54A"/>
                <w:sz w:val="20"/>
                <w:szCs w:val="20"/>
              </w:rPr>
              <w:t xml:space="preserve">Page </w:t>
            </w:r>
            <w:r w:rsidRPr="004D51E0">
              <w:rPr>
                <w:rFonts w:ascii="Arial" w:hAnsi="Arial" w:cs="Arial"/>
                <w:b/>
                <w:bCs/>
                <w:color w:val="39B54A"/>
                <w:sz w:val="20"/>
                <w:szCs w:val="20"/>
              </w:rPr>
              <w:fldChar w:fldCharType="begin"/>
            </w:r>
            <w:r w:rsidRPr="004D51E0">
              <w:rPr>
                <w:rFonts w:ascii="Arial" w:hAnsi="Arial" w:cs="Arial"/>
                <w:b/>
                <w:bCs/>
                <w:color w:val="39B54A"/>
                <w:sz w:val="20"/>
                <w:szCs w:val="20"/>
              </w:rPr>
              <w:instrText xml:space="preserve"> PAGE </w:instrText>
            </w:r>
            <w:r w:rsidRPr="004D51E0">
              <w:rPr>
                <w:rFonts w:ascii="Arial" w:hAnsi="Arial" w:cs="Arial"/>
                <w:b/>
                <w:bCs/>
                <w:color w:val="39B54A"/>
                <w:sz w:val="20"/>
                <w:szCs w:val="20"/>
              </w:rPr>
              <w:fldChar w:fldCharType="separate"/>
            </w:r>
            <w:r w:rsidR="007E7B69">
              <w:rPr>
                <w:rFonts w:ascii="Arial" w:hAnsi="Arial" w:cs="Arial"/>
                <w:b/>
                <w:bCs/>
                <w:noProof/>
                <w:color w:val="39B54A"/>
                <w:sz w:val="20"/>
                <w:szCs w:val="20"/>
              </w:rPr>
              <w:t>3</w:t>
            </w:r>
            <w:r w:rsidRPr="004D51E0">
              <w:rPr>
                <w:rFonts w:ascii="Arial" w:hAnsi="Arial" w:cs="Arial"/>
                <w:b/>
                <w:bCs/>
                <w:color w:val="39B54A"/>
                <w:sz w:val="20"/>
                <w:szCs w:val="20"/>
              </w:rPr>
              <w:fldChar w:fldCharType="end"/>
            </w:r>
            <w:r w:rsidR="00FA6357">
              <w:rPr>
                <w:rFonts w:ascii="Arial" w:hAnsi="Arial" w:cs="Arial"/>
                <w:b/>
                <w:bCs/>
                <w:color w:val="39B54A"/>
                <w:sz w:val="20"/>
                <w:szCs w:val="20"/>
              </w:rPr>
              <w:t xml:space="preserve"> </w:t>
            </w:r>
            <w:r w:rsidRPr="004D51E0">
              <w:rPr>
                <w:rFonts w:ascii="Arial" w:hAnsi="Arial" w:cs="Arial"/>
                <w:color w:val="39B54A"/>
                <w:sz w:val="20"/>
                <w:szCs w:val="20"/>
              </w:rPr>
              <w:t xml:space="preserve">of </w:t>
            </w:r>
            <w:r w:rsidRPr="004D51E0">
              <w:rPr>
                <w:rFonts w:ascii="Arial" w:hAnsi="Arial" w:cs="Arial"/>
                <w:b/>
                <w:bCs/>
                <w:color w:val="39B54A"/>
                <w:sz w:val="20"/>
                <w:szCs w:val="20"/>
              </w:rPr>
              <w:fldChar w:fldCharType="begin"/>
            </w:r>
            <w:r w:rsidRPr="004D51E0">
              <w:rPr>
                <w:rFonts w:ascii="Arial" w:hAnsi="Arial" w:cs="Arial"/>
                <w:b/>
                <w:bCs/>
                <w:color w:val="39B54A"/>
                <w:sz w:val="20"/>
                <w:szCs w:val="20"/>
              </w:rPr>
              <w:instrText xml:space="preserve"> NUMPAGES  </w:instrText>
            </w:r>
            <w:r w:rsidRPr="004D51E0">
              <w:rPr>
                <w:rFonts w:ascii="Arial" w:hAnsi="Arial" w:cs="Arial"/>
                <w:b/>
                <w:bCs/>
                <w:color w:val="39B54A"/>
                <w:sz w:val="20"/>
                <w:szCs w:val="20"/>
              </w:rPr>
              <w:fldChar w:fldCharType="separate"/>
            </w:r>
            <w:r w:rsidR="007E7B69">
              <w:rPr>
                <w:rFonts w:ascii="Arial" w:hAnsi="Arial" w:cs="Arial"/>
                <w:b/>
                <w:bCs/>
                <w:noProof/>
                <w:color w:val="39B54A"/>
                <w:sz w:val="20"/>
                <w:szCs w:val="20"/>
              </w:rPr>
              <w:t>3</w:t>
            </w:r>
            <w:r w:rsidRPr="004D51E0">
              <w:rPr>
                <w:rFonts w:ascii="Arial" w:hAnsi="Arial" w:cs="Arial"/>
                <w:b/>
                <w:bCs/>
                <w:color w:val="39B54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39B54A"/>
        <w:sz w:val="20"/>
        <w:szCs w:val="20"/>
      </w:rPr>
      <w:id w:val="-936295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39B54A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45C58" w:rsidRPr="004D51E0" w:rsidRDefault="00845C58" w:rsidP="004D51E0">
            <w:pPr>
              <w:pStyle w:val="Footer"/>
              <w:jc w:val="right"/>
              <w:rPr>
                <w:rFonts w:ascii="Arial" w:hAnsi="Arial" w:cs="Arial"/>
                <w:color w:val="39B54A"/>
                <w:sz w:val="20"/>
                <w:szCs w:val="20"/>
              </w:rPr>
            </w:pPr>
            <w:r w:rsidRPr="004D51E0">
              <w:rPr>
                <w:rFonts w:ascii="Arial" w:hAnsi="Arial" w:cs="Arial"/>
                <w:color w:val="39B54A"/>
                <w:sz w:val="20"/>
                <w:szCs w:val="20"/>
              </w:rPr>
              <w:t xml:space="preserve">Page </w:t>
            </w:r>
            <w:r w:rsidRPr="004D51E0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begin"/>
            </w:r>
            <w:r w:rsidRPr="004D51E0">
              <w:rPr>
                <w:rFonts w:ascii="Arial" w:hAnsi="Arial" w:cs="Arial"/>
                <w:bCs/>
                <w:color w:val="39B54A"/>
                <w:sz w:val="20"/>
                <w:szCs w:val="20"/>
              </w:rPr>
              <w:instrText xml:space="preserve"> PAGE </w:instrText>
            </w:r>
            <w:r w:rsidRPr="004D51E0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separate"/>
            </w:r>
            <w:r w:rsidR="009B268A">
              <w:rPr>
                <w:rFonts w:ascii="Arial" w:hAnsi="Arial" w:cs="Arial"/>
                <w:bCs/>
                <w:noProof/>
                <w:color w:val="39B54A"/>
                <w:sz w:val="20"/>
                <w:szCs w:val="20"/>
              </w:rPr>
              <w:t>1</w:t>
            </w:r>
            <w:r w:rsidRPr="004D51E0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end"/>
            </w:r>
            <w:r w:rsidR="00FA6357">
              <w:rPr>
                <w:rFonts w:ascii="Arial" w:hAnsi="Arial" w:cs="Arial"/>
                <w:bCs/>
                <w:color w:val="39B54A"/>
                <w:sz w:val="20"/>
                <w:szCs w:val="20"/>
              </w:rPr>
              <w:t xml:space="preserve"> </w:t>
            </w:r>
            <w:r w:rsidRPr="004D51E0">
              <w:rPr>
                <w:rFonts w:ascii="Arial" w:hAnsi="Arial" w:cs="Arial"/>
                <w:color w:val="39B54A"/>
                <w:sz w:val="20"/>
                <w:szCs w:val="20"/>
              </w:rPr>
              <w:t xml:space="preserve">of </w:t>
            </w:r>
            <w:r w:rsidRPr="004D51E0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begin"/>
            </w:r>
            <w:r w:rsidRPr="004D51E0">
              <w:rPr>
                <w:rFonts w:ascii="Arial" w:hAnsi="Arial" w:cs="Arial"/>
                <w:bCs/>
                <w:color w:val="39B54A"/>
                <w:sz w:val="20"/>
                <w:szCs w:val="20"/>
              </w:rPr>
              <w:instrText xml:space="preserve"> NUMPAGES  </w:instrText>
            </w:r>
            <w:r w:rsidRPr="004D51E0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separate"/>
            </w:r>
            <w:r w:rsidR="009B268A">
              <w:rPr>
                <w:rFonts w:ascii="Arial" w:hAnsi="Arial" w:cs="Arial"/>
                <w:bCs/>
                <w:noProof/>
                <w:color w:val="39B54A"/>
                <w:sz w:val="20"/>
                <w:szCs w:val="20"/>
              </w:rPr>
              <w:t>1</w:t>
            </w:r>
            <w:r w:rsidRPr="004D51E0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8A" w:rsidRDefault="009B268A">
      <w:r>
        <w:separator/>
      </w:r>
    </w:p>
  </w:footnote>
  <w:footnote w:type="continuationSeparator" w:id="0">
    <w:p w:rsidR="009B268A" w:rsidRDefault="009B2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E6" w:rsidRPr="00FA6357" w:rsidRDefault="006848E6" w:rsidP="0008515E">
    <w:pPr>
      <w:tabs>
        <w:tab w:val="left" w:pos="1560"/>
        <w:tab w:val="left" w:pos="3119"/>
      </w:tabs>
      <w:contextualSpacing/>
      <w:rPr>
        <w:rFonts w:ascii="Arial" w:hAnsi="Arial" w:cs="Arial"/>
        <w:b/>
        <w:color w:val="39B54A"/>
        <w:position w:val="22"/>
        <w:sz w:val="50"/>
        <w:szCs w:val="50"/>
      </w:rPr>
    </w:pPr>
    <w:r w:rsidRPr="008C2740">
      <w:rPr>
        <w:rFonts w:ascii="Arial" w:hAnsi="Arial"/>
        <w:sz w:val="50"/>
      </w:rPr>
      <w:tab/>
    </w:r>
    <w:r w:rsidRPr="00FA6357">
      <w:rPr>
        <w:rFonts w:ascii="Arial" w:hAnsi="Arial"/>
        <w:color w:val="39B54A"/>
        <w:sz w:val="50"/>
      </w:rPr>
      <w:t xml:space="preserve">Tool </w:t>
    </w:r>
    <w:r w:rsidR="006E5E77" w:rsidRPr="00FA6357">
      <w:rPr>
        <w:rFonts w:ascii="Arial" w:hAnsi="Arial"/>
        <w:color w:val="39B54A"/>
        <w:sz w:val="50"/>
      </w:rPr>
      <w:t>4</w:t>
    </w:r>
    <w:r w:rsidR="0008515E" w:rsidRPr="00FA6357">
      <w:rPr>
        <w:rFonts w:ascii="Arial" w:hAnsi="Arial"/>
        <w:color w:val="39B54A"/>
        <w:sz w:val="50"/>
      </w:rPr>
      <w:br/>
    </w:r>
    <w:r w:rsidR="0008515E" w:rsidRPr="00FA6357">
      <w:rPr>
        <w:rFonts w:ascii="Arial" w:hAnsi="Arial"/>
        <w:color w:val="39B54A"/>
        <w:sz w:val="50"/>
      </w:rPr>
      <w:tab/>
    </w:r>
    <w:r w:rsidR="006E5E77" w:rsidRPr="00FA6357">
      <w:rPr>
        <w:rStyle w:val="A6"/>
        <w:rFonts w:ascii="Arial" w:hAnsi="Arial" w:cs="Arial"/>
        <w:color w:val="39B54A"/>
        <w:sz w:val="50"/>
        <w:szCs w:val="50"/>
      </w:rPr>
      <w:t>Sample communications plan</w:t>
    </w:r>
    <w:r w:rsidR="0008515E" w:rsidRPr="00FA6357">
      <w:rPr>
        <w:rFonts w:ascii="Arial" w:hAnsi="Arial"/>
        <w:b/>
        <w:color w:val="39B54A"/>
        <w:sz w:val="50"/>
      </w:rPr>
      <w:br/>
    </w:r>
    <w:r w:rsidR="0008515E" w:rsidRPr="00FA6357">
      <w:rPr>
        <w:rFonts w:ascii="Arial" w:hAnsi="Arial"/>
        <w:b/>
        <w:color w:val="39B54A"/>
        <w:sz w:val="50"/>
      </w:rPr>
      <w:tab/>
    </w:r>
  </w:p>
  <w:p w:rsidR="006848E6" w:rsidRPr="00FA6357" w:rsidRDefault="00FE29D0" w:rsidP="00FE29D0">
    <w:pPr>
      <w:tabs>
        <w:tab w:val="left" w:pos="2127"/>
        <w:tab w:val="left" w:pos="3402"/>
      </w:tabs>
      <w:contextualSpacing/>
      <w:rPr>
        <w:rFonts w:ascii="Arial" w:hAnsi="Arial" w:cs="Arial"/>
        <w:color w:val="39B54A"/>
        <w:sz w:val="22"/>
        <w:szCs w:val="22"/>
      </w:rPr>
    </w:pPr>
    <w:r w:rsidRPr="00FA6357">
      <w:rPr>
        <w:rFonts w:ascii="Arial" w:hAnsi="Arial" w:cs="Arial"/>
        <w:noProof/>
        <w:color w:val="39B54A"/>
        <w:sz w:val="22"/>
        <w:szCs w:val="22"/>
        <w:lang w:eastAsia="en-GB"/>
      </w:rPr>
      <w:drawing>
        <wp:anchor distT="0" distB="0" distL="114300" distR="114300" simplePos="0" relativeHeight="251659264" behindDoc="1" locked="1" layoutInCell="1" allowOverlap="1" wp14:anchorId="536D39BC" wp14:editId="204CD55D">
          <wp:simplePos x="0" y="0"/>
          <wp:positionH relativeFrom="column">
            <wp:posOffset>-247015</wp:posOffset>
          </wp:positionH>
          <wp:positionV relativeFrom="page">
            <wp:posOffset>375285</wp:posOffset>
          </wp:positionV>
          <wp:extent cx="1094105" cy="11633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 Closu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16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3DBC"/>
    <w:multiLevelType w:val="hybridMultilevel"/>
    <w:tmpl w:val="AE102CFC"/>
    <w:lvl w:ilvl="0" w:tplc="11646DB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F6659"/>
    <w:multiLevelType w:val="hybridMultilevel"/>
    <w:tmpl w:val="E07CA68E"/>
    <w:lvl w:ilvl="0" w:tplc="141E3EF2">
      <w:start w:val="1"/>
      <w:numFmt w:val="bullet"/>
      <w:pStyle w:val="Dash2"/>
      <w:lvlText w:val="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70766"/>
    <w:multiLevelType w:val="hybridMultilevel"/>
    <w:tmpl w:val="C55AAE7E"/>
    <w:lvl w:ilvl="0" w:tplc="38DA5BF8">
      <w:start w:val="1"/>
      <w:numFmt w:val="bullet"/>
      <w:pStyle w:val="GreenBullet2"/>
      <w:lvlText w:val="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F31DD"/>
    <w:multiLevelType w:val="hybridMultilevel"/>
    <w:tmpl w:val="164486E8"/>
    <w:lvl w:ilvl="0" w:tplc="EA3EE554">
      <w:start w:val="1"/>
      <w:numFmt w:val="decimal"/>
      <w:pStyle w:val="Numbering1"/>
      <w:lvlText w:val="%1."/>
      <w:lvlJc w:val="left"/>
      <w:pPr>
        <w:ind w:left="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8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44295"/>
    <w:multiLevelType w:val="hybridMultilevel"/>
    <w:tmpl w:val="229C4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6"/>
  </w:num>
  <w:num w:numId="5">
    <w:abstractNumId w:val="23"/>
  </w:num>
  <w:num w:numId="6">
    <w:abstractNumId w:val="15"/>
  </w:num>
  <w:num w:numId="7">
    <w:abstractNumId w:val="0"/>
  </w:num>
  <w:num w:numId="8">
    <w:abstractNumId w:val="2"/>
  </w:num>
  <w:num w:numId="9">
    <w:abstractNumId w:val="14"/>
  </w:num>
  <w:num w:numId="10">
    <w:abstractNumId w:val="8"/>
  </w:num>
  <w:num w:numId="11">
    <w:abstractNumId w:val="20"/>
  </w:num>
  <w:num w:numId="12">
    <w:abstractNumId w:val="19"/>
  </w:num>
  <w:num w:numId="13">
    <w:abstractNumId w:val="24"/>
  </w:num>
  <w:num w:numId="14">
    <w:abstractNumId w:val="3"/>
  </w:num>
  <w:num w:numId="15">
    <w:abstractNumId w:val="9"/>
  </w:num>
  <w:num w:numId="16">
    <w:abstractNumId w:val="21"/>
  </w:num>
  <w:num w:numId="17">
    <w:abstractNumId w:val="22"/>
  </w:num>
  <w:num w:numId="18">
    <w:abstractNumId w:val="18"/>
  </w:num>
  <w:num w:numId="19">
    <w:abstractNumId w:val="17"/>
  </w:num>
  <w:num w:numId="20">
    <w:abstractNumId w:val="12"/>
  </w:num>
  <w:num w:numId="21">
    <w:abstractNumId w:val="5"/>
  </w:num>
  <w:num w:numId="22">
    <w:abstractNumId w:val="4"/>
  </w:num>
  <w:num w:numId="23">
    <w:abstractNumId w:val="10"/>
  </w:num>
  <w:num w:numId="24">
    <w:abstractNumId w:val="11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7"/>
    <w:rsid w:val="00024E38"/>
    <w:rsid w:val="00051C58"/>
    <w:rsid w:val="000548DA"/>
    <w:rsid w:val="00063CC7"/>
    <w:rsid w:val="0008515E"/>
    <w:rsid w:val="000B1602"/>
    <w:rsid w:val="000B630B"/>
    <w:rsid w:val="000C5C25"/>
    <w:rsid w:val="001363E7"/>
    <w:rsid w:val="002427A6"/>
    <w:rsid w:val="00247339"/>
    <w:rsid w:val="00257E6B"/>
    <w:rsid w:val="00260847"/>
    <w:rsid w:val="00262817"/>
    <w:rsid w:val="002C6899"/>
    <w:rsid w:val="003B6928"/>
    <w:rsid w:val="003E2593"/>
    <w:rsid w:val="003E70E9"/>
    <w:rsid w:val="003F1B6D"/>
    <w:rsid w:val="00445775"/>
    <w:rsid w:val="00457B5A"/>
    <w:rsid w:val="004C64B1"/>
    <w:rsid w:val="004D51E0"/>
    <w:rsid w:val="004D7FF4"/>
    <w:rsid w:val="004F0CE0"/>
    <w:rsid w:val="005D27A9"/>
    <w:rsid w:val="005D7AE8"/>
    <w:rsid w:val="0064606E"/>
    <w:rsid w:val="006848E6"/>
    <w:rsid w:val="00685E12"/>
    <w:rsid w:val="00687602"/>
    <w:rsid w:val="006E5E77"/>
    <w:rsid w:val="00764FCE"/>
    <w:rsid w:val="00766017"/>
    <w:rsid w:val="00770537"/>
    <w:rsid w:val="007D07CF"/>
    <w:rsid w:val="007E7B69"/>
    <w:rsid w:val="00845C58"/>
    <w:rsid w:val="008733D2"/>
    <w:rsid w:val="009B0AE9"/>
    <w:rsid w:val="009B268A"/>
    <w:rsid w:val="009D179A"/>
    <w:rsid w:val="009F7D2A"/>
    <w:rsid w:val="00AB5A3C"/>
    <w:rsid w:val="00B06EA0"/>
    <w:rsid w:val="00BC13C4"/>
    <w:rsid w:val="00C11246"/>
    <w:rsid w:val="00C7008B"/>
    <w:rsid w:val="00C736D6"/>
    <w:rsid w:val="00C80928"/>
    <w:rsid w:val="00D61B4D"/>
    <w:rsid w:val="00D75E66"/>
    <w:rsid w:val="00D87144"/>
    <w:rsid w:val="00DE6051"/>
    <w:rsid w:val="00DF2AEF"/>
    <w:rsid w:val="00EE09E2"/>
    <w:rsid w:val="00EE6B4A"/>
    <w:rsid w:val="00F27907"/>
    <w:rsid w:val="00F4240C"/>
    <w:rsid w:val="00F553C7"/>
    <w:rsid w:val="00F71B38"/>
    <w:rsid w:val="00FA418E"/>
    <w:rsid w:val="00FA6357"/>
    <w:rsid w:val="00FE1040"/>
    <w:rsid w:val="00FE29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662483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63CC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character" w:customStyle="1" w:styleId="A6">
    <w:name w:val="A6"/>
    <w:uiPriority w:val="99"/>
    <w:rsid w:val="00FE29D0"/>
    <w:rPr>
      <w:rFonts w:cs="VAG Rounded Std Thin"/>
      <w:b/>
      <w:bCs/>
      <w:color w:val="000000"/>
      <w:sz w:val="48"/>
      <w:szCs w:val="48"/>
    </w:rPr>
  </w:style>
  <w:style w:type="table" w:styleId="TableGrid">
    <w:name w:val="Table Grid"/>
    <w:basedOn w:val="TableNormal"/>
    <w:rsid w:val="00FE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770537"/>
    <w:pPr>
      <w:autoSpaceDE w:val="0"/>
      <w:autoSpaceDN w:val="0"/>
      <w:adjustRightInd w:val="0"/>
      <w:spacing w:line="201" w:lineRule="atLeast"/>
    </w:pPr>
    <w:rPr>
      <w:rFonts w:ascii="VAG Rounded Std Thin" w:hAnsi="VAG Rounded Std Thin"/>
      <w:lang w:eastAsia="en-GB"/>
    </w:rPr>
  </w:style>
  <w:style w:type="character" w:customStyle="1" w:styleId="A2">
    <w:name w:val="A2"/>
    <w:uiPriority w:val="99"/>
    <w:rsid w:val="00770537"/>
    <w:rPr>
      <w:rFonts w:cs="VAG Rounded Std Thin"/>
      <w:b/>
      <w:bCs/>
      <w:color w:val="000000"/>
      <w:sz w:val="16"/>
      <w:szCs w:val="16"/>
    </w:rPr>
  </w:style>
  <w:style w:type="paragraph" w:customStyle="1" w:styleId="Pa3">
    <w:name w:val="Pa3"/>
    <w:basedOn w:val="Normal"/>
    <w:next w:val="Normal"/>
    <w:link w:val="Pa3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3">
    <w:name w:val="A3"/>
    <w:uiPriority w:val="99"/>
    <w:rsid w:val="00770537"/>
    <w:rPr>
      <w:rFonts w:cs="VAG Rounded Std Thin"/>
      <w:b/>
      <w:bCs/>
      <w:color w:val="000000"/>
      <w:sz w:val="15"/>
      <w:szCs w:val="15"/>
    </w:rPr>
  </w:style>
  <w:style w:type="paragraph" w:customStyle="1" w:styleId="Pa7">
    <w:name w:val="Pa7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4">
    <w:name w:val="A4"/>
    <w:uiPriority w:val="99"/>
    <w:rsid w:val="00770537"/>
    <w:rPr>
      <w:rFonts w:cs="VAG Rounded Std Light"/>
      <w:color w:val="000000"/>
      <w:sz w:val="15"/>
      <w:szCs w:val="15"/>
    </w:rPr>
  </w:style>
  <w:style w:type="paragraph" w:customStyle="1" w:styleId="Pa5">
    <w:name w:val="Pa5"/>
    <w:basedOn w:val="Normal"/>
    <w:next w:val="Normal"/>
    <w:link w:val="Pa5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customStyle="1" w:styleId="Pa6">
    <w:name w:val="Pa6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styleId="ListParagraph">
    <w:name w:val="List Paragraph"/>
    <w:basedOn w:val="Normal"/>
    <w:link w:val="ListParagraphChar"/>
    <w:qFormat/>
    <w:rsid w:val="00EE09E2"/>
    <w:pPr>
      <w:ind w:left="720"/>
      <w:contextualSpacing/>
    </w:pPr>
  </w:style>
  <w:style w:type="paragraph" w:customStyle="1" w:styleId="Bullet1">
    <w:name w:val="Bullet 1"/>
    <w:basedOn w:val="Pa3"/>
    <w:link w:val="Bullet1Char"/>
    <w:qFormat/>
    <w:rsid w:val="00EE09E2"/>
    <w:pPr>
      <w:numPr>
        <w:numId w:val="22"/>
      </w:numPr>
      <w:ind w:left="317" w:hanging="283"/>
    </w:pPr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ash2">
    <w:name w:val="Dash 2"/>
    <w:basedOn w:val="Pa5"/>
    <w:link w:val="Dash2Char"/>
    <w:qFormat/>
    <w:rsid w:val="00EE09E2"/>
    <w:pPr>
      <w:numPr>
        <w:numId w:val="23"/>
      </w:numPr>
      <w:ind w:left="600" w:hanging="262"/>
    </w:pPr>
    <w:rPr>
      <w:rFonts w:ascii="Arial" w:hAnsi="Arial" w:cs="Arial"/>
      <w:color w:val="595959" w:themeColor="text1" w:themeTint="A6"/>
      <w:sz w:val="18"/>
      <w:szCs w:val="18"/>
    </w:rPr>
  </w:style>
  <w:style w:type="character" w:customStyle="1" w:styleId="Pa3Char">
    <w:name w:val="Pa3 Char"/>
    <w:basedOn w:val="DefaultParagraphFont"/>
    <w:link w:val="Pa3"/>
    <w:uiPriority w:val="99"/>
    <w:rsid w:val="00EE09E2"/>
    <w:rPr>
      <w:rFonts w:ascii="VAG Rounded Std Thin" w:hAnsi="VAG Rounded Std Thin"/>
      <w:sz w:val="24"/>
      <w:szCs w:val="24"/>
    </w:rPr>
  </w:style>
  <w:style w:type="character" w:customStyle="1" w:styleId="Bullet1Char">
    <w:name w:val="Bullet 1 Char"/>
    <w:basedOn w:val="Pa3Char"/>
    <w:link w:val="Bullet1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">
    <w:name w:val="Green Bullet"/>
    <w:basedOn w:val="Bullet1"/>
    <w:link w:val="GreenBulletChar"/>
    <w:qFormat/>
    <w:rsid w:val="00EE09E2"/>
  </w:style>
  <w:style w:type="character" w:customStyle="1" w:styleId="Pa5Char">
    <w:name w:val="Pa5 Char"/>
    <w:basedOn w:val="DefaultParagraphFont"/>
    <w:link w:val="Pa5"/>
    <w:uiPriority w:val="99"/>
    <w:rsid w:val="00EE09E2"/>
    <w:rPr>
      <w:rFonts w:ascii="VAG Rounded Std Light" w:hAnsi="VAG Rounded Std Light"/>
      <w:sz w:val="24"/>
      <w:szCs w:val="24"/>
    </w:rPr>
  </w:style>
  <w:style w:type="character" w:customStyle="1" w:styleId="Dash2Char">
    <w:name w:val="Dash 2 Char"/>
    <w:basedOn w:val="Pa5Char"/>
    <w:link w:val="Dash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2">
    <w:name w:val="Green Bullet2"/>
    <w:basedOn w:val="GreenBullet"/>
    <w:link w:val="GreenBullet2Char"/>
    <w:qFormat/>
    <w:rsid w:val="00EE09E2"/>
    <w:pPr>
      <w:numPr>
        <w:numId w:val="24"/>
      </w:numPr>
    </w:pPr>
  </w:style>
  <w:style w:type="character" w:customStyle="1" w:styleId="GreenBulletChar">
    <w:name w:val="Green Bullet Char"/>
    <w:basedOn w:val="Bullet1Char"/>
    <w:link w:val="GreenBullet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3">
    <w:name w:val="Green Bullet 3"/>
    <w:basedOn w:val="GreenBullet2"/>
    <w:link w:val="GreenBullet3Char"/>
    <w:qFormat/>
    <w:rsid w:val="00EE09E2"/>
    <w:pPr>
      <w:ind w:left="317" w:hanging="283"/>
    </w:pPr>
  </w:style>
  <w:style w:type="character" w:customStyle="1" w:styleId="GreenBullet2Char">
    <w:name w:val="Green Bullet2 Char"/>
    <w:basedOn w:val="GreenBulletChar"/>
    <w:link w:val="GreenBullet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efault">
    <w:name w:val="Default"/>
    <w:rsid w:val="003B6928"/>
    <w:pPr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</w:rPr>
  </w:style>
  <w:style w:type="character" w:customStyle="1" w:styleId="GreenBullet3Char">
    <w:name w:val="Green Bullet 3 Char"/>
    <w:basedOn w:val="GreenBullet2Char"/>
    <w:link w:val="GreenBullet3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3B6928"/>
    <w:rPr>
      <w:rFonts w:cs="VAG Rounded Std Thin"/>
      <w:b/>
      <w:bCs/>
      <w:color w:val="000000"/>
      <w:sz w:val="17"/>
      <w:szCs w:val="17"/>
    </w:rPr>
  </w:style>
  <w:style w:type="paragraph" w:customStyle="1" w:styleId="Pa9">
    <w:name w:val="Pa9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Numbering1">
    <w:name w:val="Numbering 1"/>
    <w:basedOn w:val="ListParagraph"/>
    <w:link w:val="Numbering1Char"/>
    <w:qFormat/>
    <w:rsid w:val="00262817"/>
    <w:pPr>
      <w:numPr>
        <w:numId w:val="26"/>
      </w:numPr>
      <w:autoSpaceDE w:val="0"/>
      <w:autoSpaceDN w:val="0"/>
      <w:adjustRightInd w:val="0"/>
      <w:spacing w:after="60" w:line="161" w:lineRule="atLeast"/>
      <w:ind w:left="459" w:hanging="425"/>
    </w:pPr>
    <w:rPr>
      <w:rFonts w:ascii="Arial" w:hAnsi="Arial" w:cs="Arial"/>
      <w:color w:val="595959" w:themeColor="text1" w:themeTint="A6"/>
      <w:sz w:val="18"/>
      <w:szCs w:val="18"/>
      <w:lang w:eastAsia="en-GB"/>
    </w:rPr>
  </w:style>
  <w:style w:type="paragraph" w:customStyle="1" w:styleId="GreenDash">
    <w:name w:val="Green Dash"/>
    <w:basedOn w:val="Dash2"/>
    <w:link w:val="GreenDashChar"/>
    <w:qFormat/>
    <w:rsid w:val="00262817"/>
  </w:style>
  <w:style w:type="character" w:customStyle="1" w:styleId="ListParagraphChar">
    <w:name w:val="List Paragraph Char"/>
    <w:basedOn w:val="DefaultParagraphFont"/>
    <w:link w:val="ListParagraph"/>
    <w:rsid w:val="00262817"/>
    <w:rPr>
      <w:sz w:val="24"/>
      <w:szCs w:val="24"/>
      <w:lang w:eastAsia="en-US"/>
    </w:rPr>
  </w:style>
  <w:style w:type="character" w:customStyle="1" w:styleId="Numbering1Char">
    <w:name w:val="Numbering 1 Char"/>
    <w:basedOn w:val="ListParagraphChar"/>
    <w:link w:val="Numbering1"/>
    <w:rsid w:val="00262817"/>
    <w:rPr>
      <w:rFonts w:ascii="Arial" w:hAnsi="Arial" w:cs="Arial"/>
      <w:color w:val="595959" w:themeColor="text1" w:themeTint="A6"/>
      <w:sz w:val="18"/>
      <w:szCs w:val="18"/>
      <w:lang w:eastAsia="en-US"/>
    </w:rPr>
  </w:style>
  <w:style w:type="paragraph" w:customStyle="1" w:styleId="Pa12">
    <w:name w:val="Pa12"/>
    <w:basedOn w:val="Default"/>
    <w:next w:val="Default"/>
    <w:uiPriority w:val="99"/>
    <w:rsid w:val="00C736D6"/>
    <w:pPr>
      <w:spacing w:line="201" w:lineRule="atLeast"/>
    </w:pPr>
    <w:rPr>
      <w:rFonts w:cs="Times New Roman"/>
      <w:color w:val="auto"/>
    </w:rPr>
  </w:style>
  <w:style w:type="character" w:customStyle="1" w:styleId="GreenDashChar">
    <w:name w:val="Green Dash Char"/>
    <w:basedOn w:val="Dash2Char"/>
    <w:link w:val="GreenDash"/>
    <w:rsid w:val="00262817"/>
    <w:rPr>
      <w:rFonts w:ascii="Arial" w:hAnsi="Arial" w:cs="Arial"/>
      <w:color w:val="595959" w:themeColor="text1" w:themeTint="A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63CC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character" w:customStyle="1" w:styleId="A6">
    <w:name w:val="A6"/>
    <w:uiPriority w:val="99"/>
    <w:rsid w:val="00FE29D0"/>
    <w:rPr>
      <w:rFonts w:cs="VAG Rounded Std Thin"/>
      <w:b/>
      <w:bCs/>
      <w:color w:val="000000"/>
      <w:sz w:val="48"/>
      <w:szCs w:val="48"/>
    </w:rPr>
  </w:style>
  <w:style w:type="table" w:styleId="TableGrid">
    <w:name w:val="Table Grid"/>
    <w:basedOn w:val="TableNormal"/>
    <w:rsid w:val="00FE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770537"/>
    <w:pPr>
      <w:autoSpaceDE w:val="0"/>
      <w:autoSpaceDN w:val="0"/>
      <w:adjustRightInd w:val="0"/>
      <w:spacing w:line="201" w:lineRule="atLeast"/>
    </w:pPr>
    <w:rPr>
      <w:rFonts w:ascii="VAG Rounded Std Thin" w:hAnsi="VAG Rounded Std Thin"/>
      <w:lang w:eastAsia="en-GB"/>
    </w:rPr>
  </w:style>
  <w:style w:type="character" w:customStyle="1" w:styleId="A2">
    <w:name w:val="A2"/>
    <w:uiPriority w:val="99"/>
    <w:rsid w:val="00770537"/>
    <w:rPr>
      <w:rFonts w:cs="VAG Rounded Std Thin"/>
      <w:b/>
      <w:bCs/>
      <w:color w:val="000000"/>
      <w:sz w:val="16"/>
      <w:szCs w:val="16"/>
    </w:rPr>
  </w:style>
  <w:style w:type="paragraph" w:customStyle="1" w:styleId="Pa3">
    <w:name w:val="Pa3"/>
    <w:basedOn w:val="Normal"/>
    <w:next w:val="Normal"/>
    <w:link w:val="Pa3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3">
    <w:name w:val="A3"/>
    <w:uiPriority w:val="99"/>
    <w:rsid w:val="00770537"/>
    <w:rPr>
      <w:rFonts w:cs="VAG Rounded Std Thin"/>
      <w:b/>
      <w:bCs/>
      <w:color w:val="000000"/>
      <w:sz w:val="15"/>
      <w:szCs w:val="15"/>
    </w:rPr>
  </w:style>
  <w:style w:type="paragraph" w:customStyle="1" w:styleId="Pa7">
    <w:name w:val="Pa7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4">
    <w:name w:val="A4"/>
    <w:uiPriority w:val="99"/>
    <w:rsid w:val="00770537"/>
    <w:rPr>
      <w:rFonts w:cs="VAG Rounded Std Light"/>
      <w:color w:val="000000"/>
      <w:sz w:val="15"/>
      <w:szCs w:val="15"/>
    </w:rPr>
  </w:style>
  <w:style w:type="paragraph" w:customStyle="1" w:styleId="Pa5">
    <w:name w:val="Pa5"/>
    <w:basedOn w:val="Normal"/>
    <w:next w:val="Normal"/>
    <w:link w:val="Pa5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customStyle="1" w:styleId="Pa6">
    <w:name w:val="Pa6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styleId="ListParagraph">
    <w:name w:val="List Paragraph"/>
    <w:basedOn w:val="Normal"/>
    <w:link w:val="ListParagraphChar"/>
    <w:qFormat/>
    <w:rsid w:val="00EE09E2"/>
    <w:pPr>
      <w:ind w:left="720"/>
      <w:contextualSpacing/>
    </w:pPr>
  </w:style>
  <w:style w:type="paragraph" w:customStyle="1" w:styleId="Bullet1">
    <w:name w:val="Bullet 1"/>
    <w:basedOn w:val="Pa3"/>
    <w:link w:val="Bullet1Char"/>
    <w:qFormat/>
    <w:rsid w:val="00EE09E2"/>
    <w:pPr>
      <w:numPr>
        <w:numId w:val="22"/>
      </w:numPr>
      <w:ind w:left="317" w:hanging="283"/>
    </w:pPr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ash2">
    <w:name w:val="Dash 2"/>
    <w:basedOn w:val="Pa5"/>
    <w:link w:val="Dash2Char"/>
    <w:qFormat/>
    <w:rsid w:val="00EE09E2"/>
    <w:pPr>
      <w:numPr>
        <w:numId w:val="23"/>
      </w:numPr>
      <w:ind w:left="600" w:hanging="262"/>
    </w:pPr>
    <w:rPr>
      <w:rFonts w:ascii="Arial" w:hAnsi="Arial" w:cs="Arial"/>
      <w:color w:val="595959" w:themeColor="text1" w:themeTint="A6"/>
      <w:sz w:val="18"/>
      <w:szCs w:val="18"/>
    </w:rPr>
  </w:style>
  <w:style w:type="character" w:customStyle="1" w:styleId="Pa3Char">
    <w:name w:val="Pa3 Char"/>
    <w:basedOn w:val="DefaultParagraphFont"/>
    <w:link w:val="Pa3"/>
    <w:uiPriority w:val="99"/>
    <w:rsid w:val="00EE09E2"/>
    <w:rPr>
      <w:rFonts w:ascii="VAG Rounded Std Thin" w:hAnsi="VAG Rounded Std Thin"/>
      <w:sz w:val="24"/>
      <w:szCs w:val="24"/>
    </w:rPr>
  </w:style>
  <w:style w:type="character" w:customStyle="1" w:styleId="Bullet1Char">
    <w:name w:val="Bullet 1 Char"/>
    <w:basedOn w:val="Pa3Char"/>
    <w:link w:val="Bullet1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">
    <w:name w:val="Green Bullet"/>
    <w:basedOn w:val="Bullet1"/>
    <w:link w:val="GreenBulletChar"/>
    <w:qFormat/>
    <w:rsid w:val="00EE09E2"/>
  </w:style>
  <w:style w:type="character" w:customStyle="1" w:styleId="Pa5Char">
    <w:name w:val="Pa5 Char"/>
    <w:basedOn w:val="DefaultParagraphFont"/>
    <w:link w:val="Pa5"/>
    <w:uiPriority w:val="99"/>
    <w:rsid w:val="00EE09E2"/>
    <w:rPr>
      <w:rFonts w:ascii="VAG Rounded Std Light" w:hAnsi="VAG Rounded Std Light"/>
      <w:sz w:val="24"/>
      <w:szCs w:val="24"/>
    </w:rPr>
  </w:style>
  <w:style w:type="character" w:customStyle="1" w:styleId="Dash2Char">
    <w:name w:val="Dash 2 Char"/>
    <w:basedOn w:val="Pa5Char"/>
    <w:link w:val="Dash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2">
    <w:name w:val="Green Bullet2"/>
    <w:basedOn w:val="GreenBullet"/>
    <w:link w:val="GreenBullet2Char"/>
    <w:qFormat/>
    <w:rsid w:val="00EE09E2"/>
    <w:pPr>
      <w:numPr>
        <w:numId w:val="24"/>
      </w:numPr>
    </w:pPr>
  </w:style>
  <w:style w:type="character" w:customStyle="1" w:styleId="GreenBulletChar">
    <w:name w:val="Green Bullet Char"/>
    <w:basedOn w:val="Bullet1Char"/>
    <w:link w:val="GreenBullet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3">
    <w:name w:val="Green Bullet 3"/>
    <w:basedOn w:val="GreenBullet2"/>
    <w:link w:val="GreenBullet3Char"/>
    <w:qFormat/>
    <w:rsid w:val="00EE09E2"/>
    <w:pPr>
      <w:ind w:left="317" w:hanging="283"/>
    </w:pPr>
  </w:style>
  <w:style w:type="character" w:customStyle="1" w:styleId="GreenBullet2Char">
    <w:name w:val="Green Bullet2 Char"/>
    <w:basedOn w:val="GreenBulletChar"/>
    <w:link w:val="GreenBullet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efault">
    <w:name w:val="Default"/>
    <w:rsid w:val="003B6928"/>
    <w:pPr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</w:rPr>
  </w:style>
  <w:style w:type="character" w:customStyle="1" w:styleId="GreenBullet3Char">
    <w:name w:val="Green Bullet 3 Char"/>
    <w:basedOn w:val="GreenBullet2Char"/>
    <w:link w:val="GreenBullet3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3B6928"/>
    <w:rPr>
      <w:rFonts w:cs="VAG Rounded Std Thin"/>
      <w:b/>
      <w:bCs/>
      <w:color w:val="000000"/>
      <w:sz w:val="17"/>
      <w:szCs w:val="17"/>
    </w:rPr>
  </w:style>
  <w:style w:type="paragraph" w:customStyle="1" w:styleId="Pa9">
    <w:name w:val="Pa9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Numbering1">
    <w:name w:val="Numbering 1"/>
    <w:basedOn w:val="ListParagraph"/>
    <w:link w:val="Numbering1Char"/>
    <w:qFormat/>
    <w:rsid w:val="00262817"/>
    <w:pPr>
      <w:numPr>
        <w:numId w:val="26"/>
      </w:numPr>
      <w:autoSpaceDE w:val="0"/>
      <w:autoSpaceDN w:val="0"/>
      <w:adjustRightInd w:val="0"/>
      <w:spacing w:after="60" w:line="161" w:lineRule="atLeast"/>
      <w:ind w:left="459" w:hanging="425"/>
    </w:pPr>
    <w:rPr>
      <w:rFonts w:ascii="Arial" w:hAnsi="Arial" w:cs="Arial"/>
      <w:color w:val="595959" w:themeColor="text1" w:themeTint="A6"/>
      <w:sz w:val="18"/>
      <w:szCs w:val="18"/>
      <w:lang w:eastAsia="en-GB"/>
    </w:rPr>
  </w:style>
  <w:style w:type="paragraph" w:customStyle="1" w:styleId="GreenDash">
    <w:name w:val="Green Dash"/>
    <w:basedOn w:val="Dash2"/>
    <w:link w:val="GreenDashChar"/>
    <w:qFormat/>
    <w:rsid w:val="00262817"/>
  </w:style>
  <w:style w:type="character" w:customStyle="1" w:styleId="ListParagraphChar">
    <w:name w:val="List Paragraph Char"/>
    <w:basedOn w:val="DefaultParagraphFont"/>
    <w:link w:val="ListParagraph"/>
    <w:rsid w:val="00262817"/>
    <w:rPr>
      <w:sz w:val="24"/>
      <w:szCs w:val="24"/>
      <w:lang w:eastAsia="en-US"/>
    </w:rPr>
  </w:style>
  <w:style w:type="character" w:customStyle="1" w:styleId="Numbering1Char">
    <w:name w:val="Numbering 1 Char"/>
    <w:basedOn w:val="ListParagraphChar"/>
    <w:link w:val="Numbering1"/>
    <w:rsid w:val="00262817"/>
    <w:rPr>
      <w:rFonts w:ascii="Arial" w:hAnsi="Arial" w:cs="Arial"/>
      <w:color w:val="595959" w:themeColor="text1" w:themeTint="A6"/>
      <w:sz w:val="18"/>
      <w:szCs w:val="18"/>
      <w:lang w:eastAsia="en-US"/>
    </w:rPr>
  </w:style>
  <w:style w:type="paragraph" w:customStyle="1" w:styleId="Pa12">
    <w:name w:val="Pa12"/>
    <w:basedOn w:val="Default"/>
    <w:next w:val="Default"/>
    <w:uiPriority w:val="99"/>
    <w:rsid w:val="00C736D6"/>
    <w:pPr>
      <w:spacing w:line="201" w:lineRule="atLeast"/>
    </w:pPr>
    <w:rPr>
      <w:rFonts w:cs="Times New Roman"/>
      <w:color w:val="auto"/>
    </w:rPr>
  </w:style>
  <w:style w:type="character" w:customStyle="1" w:styleId="GreenDashChar">
    <w:name w:val="Green Dash Char"/>
    <w:basedOn w:val="Dash2Char"/>
    <w:link w:val="GreenDash"/>
    <w:rsid w:val="00262817"/>
    <w:rPr>
      <w:rFonts w:ascii="Arial" w:hAnsi="Arial" w:cs="Arial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5BE833-AE74-4443-80B1-CE5C6393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8064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Lomon</dc:creator>
  <cp:keywords/>
  <cp:lastModifiedBy>Darren Lomon</cp:lastModifiedBy>
  <cp:revision>7</cp:revision>
  <cp:lastPrinted>2013-07-25T14:08:00Z</cp:lastPrinted>
  <dcterms:created xsi:type="dcterms:W3CDTF">2013-10-30T09:56:00Z</dcterms:created>
  <dcterms:modified xsi:type="dcterms:W3CDTF">2013-11-13T10:19:00Z</dcterms:modified>
</cp:coreProperties>
</file>