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E1" w:rsidRPr="00844175" w:rsidRDefault="008006E1" w:rsidP="008006E1">
      <w:pPr>
        <w:spacing w:after="120"/>
        <w:rPr>
          <w:rFonts w:ascii="Arial" w:hAnsi="Arial" w:cs="Arial"/>
          <w:color w:val="595959" w:themeColor="text1" w:themeTint="A6"/>
        </w:rPr>
      </w:pPr>
      <w:r w:rsidRPr="00844175">
        <w:rPr>
          <w:rFonts w:ascii="Arial" w:hAnsi="Arial" w:cs="Arial"/>
          <w:color w:val="595959" w:themeColor="text1" w:themeTint="A6"/>
        </w:rPr>
        <w:t>Many landlords and local agents in these markets are relatively inexperienced when it comes to the expectations of an international occupier. It is beneficial to clearly define all demands at the outset. Therefore, it is recommended to draft a comprehensive non-binding letter of intent around the important lease terms. This will reduce the likelih</w:t>
      </w:r>
      <w:r w:rsidR="00844175">
        <w:rPr>
          <w:rFonts w:ascii="Arial" w:hAnsi="Arial" w:cs="Arial"/>
          <w:color w:val="595959" w:themeColor="text1" w:themeTint="A6"/>
        </w:rPr>
        <w:t>ood of later misunderstandings.</w:t>
      </w:r>
      <w:bookmarkStart w:id="0" w:name="_GoBack"/>
      <w:bookmarkEnd w:id="0"/>
    </w:p>
    <w:p w:rsidR="00706CAE" w:rsidRPr="00844175" w:rsidRDefault="008006E1" w:rsidP="008006E1">
      <w:pPr>
        <w:rPr>
          <w:rFonts w:ascii="Arial" w:hAnsi="Arial" w:cs="Arial"/>
          <w:color w:val="595959" w:themeColor="text1" w:themeTint="A6"/>
        </w:rPr>
      </w:pPr>
      <w:r w:rsidRPr="00844175">
        <w:rPr>
          <w:rFonts w:ascii="Arial" w:hAnsi="Arial" w:cs="Arial"/>
          <w:color w:val="595959" w:themeColor="text1" w:themeTint="A6"/>
        </w:rPr>
        <w:t>The terms provided below are only an example of lease terms. These should be adapted to the particulars of each location and the country laws and regulations.</w:t>
      </w:r>
    </w:p>
    <w:p w:rsidR="004F34D3" w:rsidRPr="002A16B6" w:rsidRDefault="004F34D3" w:rsidP="004F34D3">
      <w:pPr>
        <w:rPr>
          <w:rFonts w:ascii="Arial" w:hAnsi="Arial" w:cs="Arial"/>
          <w:color w:val="595959" w:themeColor="text1" w:themeTint="A6"/>
          <w:sz w:val="22"/>
          <w:szCs w:val="22"/>
        </w:rPr>
      </w:pPr>
    </w:p>
    <w:tbl>
      <w:tblPr>
        <w:tblStyle w:val="TableGrid"/>
        <w:tblW w:w="100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left w:w="57" w:type="dxa"/>
          <w:bottom w:w="113" w:type="dxa"/>
          <w:right w:w="57" w:type="dxa"/>
        </w:tblCellMar>
        <w:tblLook w:val="04A0" w:firstRow="1" w:lastRow="0" w:firstColumn="1" w:lastColumn="0" w:noHBand="0" w:noVBand="1"/>
      </w:tblPr>
      <w:tblGrid>
        <w:gridCol w:w="5495"/>
        <w:gridCol w:w="4536"/>
      </w:tblGrid>
      <w:tr w:rsidR="002A16B6" w:rsidRPr="00844175" w:rsidTr="008006E1">
        <w:trPr>
          <w:trHeight w:val="340"/>
        </w:trPr>
        <w:tc>
          <w:tcPr>
            <w:tcW w:w="5495" w:type="dxa"/>
            <w:shd w:val="clear" w:color="auto" w:fill="E30613"/>
          </w:tcPr>
          <w:p w:rsidR="004D4F38" w:rsidRPr="00844175" w:rsidRDefault="008006E1" w:rsidP="00844175">
            <w:pPr>
              <w:rPr>
                <w:rFonts w:ascii="Arial" w:hAnsi="Arial" w:cs="Arial"/>
                <w:b/>
                <w:color w:val="FFFFFF" w:themeColor="background1"/>
              </w:rPr>
            </w:pPr>
            <w:r w:rsidRPr="00844175">
              <w:rPr>
                <w:rFonts w:ascii="Arial" w:hAnsi="Arial" w:cs="Arial"/>
                <w:b/>
                <w:color w:val="FFFFFF" w:themeColor="background1"/>
              </w:rPr>
              <w:t>Main lease terms</w:t>
            </w:r>
          </w:p>
        </w:tc>
        <w:tc>
          <w:tcPr>
            <w:tcW w:w="4536" w:type="dxa"/>
            <w:shd w:val="clear" w:color="auto" w:fill="E30613"/>
          </w:tcPr>
          <w:p w:rsidR="004D4F38" w:rsidRPr="00844175" w:rsidRDefault="008006E1" w:rsidP="00844175">
            <w:pPr>
              <w:pStyle w:val="Pa5"/>
              <w:rPr>
                <w:b/>
                <w:color w:val="FFFFFF" w:themeColor="background1"/>
              </w:rPr>
            </w:pPr>
            <w:r w:rsidRPr="00844175">
              <w:rPr>
                <w:b/>
                <w:color w:val="FFFFFF" w:themeColor="background1"/>
              </w:rPr>
              <w:t>Agency and location</w:t>
            </w:r>
          </w:p>
        </w:tc>
      </w:tr>
      <w:tr w:rsidR="002A16B6" w:rsidRPr="00844175" w:rsidTr="00706CAE">
        <w:trPr>
          <w:trHeight w:val="340"/>
        </w:trPr>
        <w:tc>
          <w:tcPr>
            <w:tcW w:w="5495" w:type="dxa"/>
          </w:tcPr>
          <w:p w:rsidR="004D4F38" w:rsidRPr="00844175" w:rsidRDefault="008006E1" w:rsidP="00844175">
            <w:pPr>
              <w:pStyle w:val="Pa5"/>
              <w:rPr>
                <w:b/>
                <w:color w:val="595959" w:themeColor="text1" w:themeTint="A6"/>
              </w:rPr>
            </w:pPr>
            <w:r w:rsidRPr="00844175">
              <w:rPr>
                <w:b/>
                <w:color w:val="595959" w:themeColor="text1" w:themeTint="A6"/>
              </w:rPr>
              <w:t>Unit of measurement</w:t>
            </w:r>
          </w:p>
        </w:tc>
        <w:tc>
          <w:tcPr>
            <w:tcW w:w="4536" w:type="dxa"/>
          </w:tcPr>
          <w:p w:rsidR="004D4F38" w:rsidRPr="00844175" w:rsidRDefault="002A16B6" w:rsidP="00844175">
            <w:pPr>
              <w:pStyle w:val="Pa5"/>
              <w:rPr>
                <w:color w:val="595959" w:themeColor="text1" w:themeTint="A6"/>
              </w:rPr>
            </w:pPr>
            <w:r w:rsidRPr="00844175">
              <w:rPr>
                <w:color w:val="595959" w:themeColor="text1" w:themeTint="A6"/>
              </w:rPr>
              <w:t>Square Metres</w:t>
            </w:r>
          </w:p>
        </w:tc>
      </w:tr>
      <w:tr w:rsidR="002A16B6" w:rsidRPr="00844175" w:rsidTr="00706CAE">
        <w:trPr>
          <w:trHeight w:val="340"/>
        </w:trPr>
        <w:tc>
          <w:tcPr>
            <w:tcW w:w="5495" w:type="dxa"/>
          </w:tcPr>
          <w:p w:rsidR="004D4F38" w:rsidRPr="00844175" w:rsidRDefault="008006E1" w:rsidP="00844175">
            <w:pPr>
              <w:pStyle w:val="Pa5"/>
              <w:rPr>
                <w:b/>
                <w:color w:val="595959" w:themeColor="text1" w:themeTint="A6"/>
              </w:rPr>
            </w:pPr>
            <w:r w:rsidRPr="00844175">
              <w:rPr>
                <w:b/>
                <w:color w:val="595959" w:themeColor="text1" w:themeTint="A6"/>
              </w:rPr>
              <w:t>Rent</w:t>
            </w:r>
          </w:p>
        </w:tc>
        <w:tc>
          <w:tcPr>
            <w:tcW w:w="4536" w:type="dxa"/>
          </w:tcPr>
          <w:p w:rsidR="004D4F38" w:rsidRPr="00844175" w:rsidRDefault="002A16B6" w:rsidP="00844175">
            <w:pPr>
              <w:pStyle w:val="Pa5"/>
              <w:rPr>
                <w:color w:val="595959" w:themeColor="text1" w:themeTint="A6"/>
              </w:rPr>
            </w:pPr>
            <w:r w:rsidRPr="00844175">
              <w:rPr>
                <w:color w:val="595959" w:themeColor="text1" w:themeTint="A6"/>
              </w:rPr>
              <w:t>Quoted in US$ or local currency/</w:t>
            </w:r>
            <w:proofErr w:type="spellStart"/>
            <w:r w:rsidRPr="00844175">
              <w:rPr>
                <w:color w:val="595959" w:themeColor="text1" w:themeTint="A6"/>
              </w:rPr>
              <w:t>sqm</w:t>
            </w:r>
            <w:proofErr w:type="spellEnd"/>
            <w:r w:rsidRPr="00844175">
              <w:rPr>
                <w:color w:val="595959" w:themeColor="text1" w:themeTint="A6"/>
              </w:rPr>
              <w:t>/year</w:t>
            </w:r>
          </w:p>
        </w:tc>
      </w:tr>
      <w:tr w:rsidR="002A16B6" w:rsidRPr="00844175" w:rsidTr="00706CAE">
        <w:trPr>
          <w:trHeight w:val="340"/>
        </w:trPr>
        <w:tc>
          <w:tcPr>
            <w:tcW w:w="5495" w:type="dxa"/>
          </w:tcPr>
          <w:p w:rsidR="004D4F38" w:rsidRPr="00844175" w:rsidRDefault="008006E1" w:rsidP="00844175">
            <w:pPr>
              <w:pStyle w:val="Pa5"/>
              <w:rPr>
                <w:b/>
                <w:color w:val="595959" w:themeColor="text1" w:themeTint="A6"/>
              </w:rPr>
            </w:pPr>
            <w:r w:rsidRPr="00844175">
              <w:rPr>
                <w:b/>
                <w:color w:val="595959" w:themeColor="text1" w:themeTint="A6"/>
              </w:rPr>
              <w:t>Typical lease term</w:t>
            </w:r>
          </w:p>
        </w:tc>
        <w:tc>
          <w:tcPr>
            <w:tcW w:w="4536" w:type="dxa"/>
          </w:tcPr>
          <w:p w:rsidR="004D4F38" w:rsidRPr="00844175" w:rsidRDefault="002A16B6" w:rsidP="00844175">
            <w:pPr>
              <w:pStyle w:val="Pa5"/>
              <w:rPr>
                <w:color w:val="595959" w:themeColor="text1" w:themeTint="A6"/>
              </w:rPr>
            </w:pPr>
            <w:r w:rsidRPr="00844175">
              <w:rPr>
                <w:color w:val="595959" w:themeColor="text1" w:themeTint="A6"/>
              </w:rPr>
              <w:t>3-5 years</w:t>
            </w:r>
          </w:p>
        </w:tc>
      </w:tr>
      <w:tr w:rsidR="002A16B6" w:rsidRPr="00844175" w:rsidTr="00706CAE">
        <w:trPr>
          <w:trHeight w:val="340"/>
        </w:trPr>
        <w:tc>
          <w:tcPr>
            <w:tcW w:w="5495" w:type="dxa"/>
          </w:tcPr>
          <w:p w:rsidR="004D4F38" w:rsidRPr="00844175" w:rsidRDefault="008006E1" w:rsidP="00844175">
            <w:pPr>
              <w:pStyle w:val="Pa5"/>
              <w:rPr>
                <w:b/>
                <w:color w:val="595959" w:themeColor="text1" w:themeTint="A6"/>
              </w:rPr>
            </w:pPr>
            <w:r w:rsidRPr="00844175">
              <w:rPr>
                <w:b/>
                <w:color w:val="595959" w:themeColor="text1" w:themeTint="A6"/>
              </w:rPr>
              <w:t>Frequency of rental payments (in advance)</w:t>
            </w:r>
          </w:p>
        </w:tc>
        <w:tc>
          <w:tcPr>
            <w:tcW w:w="4536" w:type="dxa"/>
          </w:tcPr>
          <w:p w:rsidR="002A16B6" w:rsidRPr="00844175" w:rsidRDefault="002A16B6" w:rsidP="00844175">
            <w:pPr>
              <w:pStyle w:val="Pa5"/>
              <w:spacing w:line="240" w:lineRule="auto"/>
              <w:rPr>
                <w:color w:val="595959" w:themeColor="text1" w:themeTint="A6"/>
              </w:rPr>
            </w:pPr>
            <w:r w:rsidRPr="00844175">
              <w:rPr>
                <w:color w:val="595959" w:themeColor="text1" w:themeTint="A6"/>
              </w:rPr>
              <w:t>3 years in advance, second payment 2 years in advance or full term upfront</w:t>
            </w:r>
          </w:p>
          <w:p w:rsidR="004D4F38" w:rsidRPr="00844175" w:rsidRDefault="002A16B6" w:rsidP="00844175">
            <w:pPr>
              <w:pStyle w:val="Pa5"/>
              <w:rPr>
                <w:i/>
                <w:color w:val="595959" w:themeColor="text1" w:themeTint="A6"/>
              </w:rPr>
            </w:pPr>
            <w:r w:rsidRPr="00844175">
              <w:rPr>
                <w:color w:val="595959" w:themeColor="text1" w:themeTint="A6"/>
              </w:rPr>
              <w:t>Need to negotiate lease provision for repayment of unused rent if lease determined early</w:t>
            </w:r>
          </w:p>
        </w:tc>
      </w:tr>
      <w:tr w:rsidR="002A16B6" w:rsidRPr="00844175" w:rsidTr="00706CAE">
        <w:trPr>
          <w:trHeight w:val="340"/>
        </w:trPr>
        <w:tc>
          <w:tcPr>
            <w:tcW w:w="5495" w:type="dxa"/>
          </w:tcPr>
          <w:tbl>
            <w:tblPr>
              <w:tblW w:w="0" w:type="auto"/>
              <w:tblBorders>
                <w:top w:val="nil"/>
                <w:left w:val="nil"/>
                <w:bottom w:val="nil"/>
                <w:right w:val="nil"/>
              </w:tblBorders>
              <w:tblLook w:val="0000" w:firstRow="0" w:lastRow="0" w:firstColumn="0" w:lastColumn="0" w:noHBand="0" w:noVBand="0"/>
            </w:tblPr>
            <w:tblGrid>
              <w:gridCol w:w="5381"/>
            </w:tblGrid>
            <w:tr w:rsidR="002A16B6" w:rsidRPr="00844175">
              <w:trPr>
                <w:trHeight w:val="310"/>
              </w:trPr>
              <w:tc>
                <w:tcPr>
                  <w:tcW w:w="0" w:type="auto"/>
                </w:tcPr>
                <w:p w:rsidR="008006E1" w:rsidRPr="00844175" w:rsidRDefault="008006E1" w:rsidP="00844175">
                  <w:pPr>
                    <w:pStyle w:val="Pa5"/>
                    <w:rPr>
                      <w:b/>
                      <w:color w:val="595959" w:themeColor="text1" w:themeTint="A6"/>
                    </w:rPr>
                  </w:pPr>
                  <w:r w:rsidRPr="00844175">
                    <w:rPr>
                      <w:b/>
                      <w:bCs/>
                      <w:color w:val="595959" w:themeColor="text1" w:themeTint="A6"/>
                    </w:rPr>
                    <w:t xml:space="preserve">Typical rent deposit (expressed as x </w:t>
                  </w:r>
                  <w:proofErr w:type="spellStart"/>
                  <w:r w:rsidRPr="00844175">
                    <w:rPr>
                      <w:b/>
                      <w:bCs/>
                      <w:color w:val="595959" w:themeColor="text1" w:themeTint="A6"/>
                    </w:rPr>
                    <w:t>months</w:t>
                  </w:r>
                  <w:proofErr w:type="spellEnd"/>
                  <w:r w:rsidRPr="00844175">
                    <w:rPr>
                      <w:b/>
                      <w:bCs/>
                      <w:color w:val="595959" w:themeColor="text1" w:themeTint="A6"/>
                    </w:rPr>
                    <w:t xml:space="preserve"> rent)</w:t>
                  </w:r>
                </w:p>
              </w:tc>
            </w:tr>
          </w:tbl>
          <w:p w:rsidR="004D4F38" w:rsidRPr="00844175" w:rsidRDefault="004D4F38" w:rsidP="00844175">
            <w:pPr>
              <w:pStyle w:val="Pa5"/>
              <w:rPr>
                <w:b/>
                <w:color w:val="595959" w:themeColor="text1" w:themeTint="A6"/>
              </w:rPr>
            </w:pPr>
          </w:p>
        </w:tc>
        <w:tc>
          <w:tcPr>
            <w:tcW w:w="4536" w:type="dxa"/>
          </w:tcPr>
          <w:p w:rsidR="004D4F38" w:rsidRPr="00844175" w:rsidRDefault="002A16B6" w:rsidP="00844175">
            <w:pPr>
              <w:pStyle w:val="Pa5"/>
              <w:rPr>
                <w:color w:val="595959" w:themeColor="text1" w:themeTint="A6"/>
              </w:rPr>
            </w:pPr>
            <w:r w:rsidRPr="00844175">
              <w:rPr>
                <w:color w:val="595959" w:themeColor="text1" w:themeTint="A6"/>
              </w:rPr>
              <w:t>None</w:t>
            </w:r>
          </w:p>
        </w:tc>
      </w:tr>
      <w:tr w:rsidR="002A16B6" w:rsidRPr="00844175" w:rsidTr="00706CAE">
        <w:trPr>
          <w:trHeight w:val="340"/>
        </w:trPr>
        <w:tc>
          <w:tcPr>
            <w:tcW w:w="5495" w:type="dxa"/>
          </w:tcPr>
          <w:p w:rsidR="004D4F38" w:rsidRPr="00844175" w:rsidRDefault="008006E1" w:rsidP="00844175">
            <w:pPr>
              <w:pStyle w:val="Pa5"/>
              <w:rPr>
                <w:b/>
                <w:color w:val="595959" w:themeColor="text1" w:themeTint="A6"/>
              </w:rPr>
            </w:pPr>
            <w:r w:rsidRPr="00844175">
              <w:rPr>
                <w:b/>
                <w:bCs/>
                <w:color w:val="595959" w:themeColor="text1" w:themeTint="A6"/>
              </w:rPr>
              <w:t>Does tenant have statutory rights to renew</w:t>
            </w:r>
          </w:p>
        </w:tc>
        <w:tc>
          <w:tcPr>
            <w:tcW w:w="4536" w:type="dxa"/>
          </w:tcPr>
          <w:p w:rsidR="004D4F38" w:rsidRPr="00844175" w:rsidRDefault="002A16B6" w:rsidP="00844175">
            <w:pPr>
              <w:pStyle w:val="Pa5"/>
              <w:rPr>
                <w:color w:val="595959" w:themeColor="text1" w:themeTint="A6"/>
              </w:rPr>
            </w:pPr>
            <w:r w:rsidRPr="00844175">
              <w:rPr>
                <w:color w:val="595959" w:themeColor="text1" w:themeTint="A6"/>
              </w:rPr>
              <w:t>No – unless negotiated for in original lease</w:t>
            </w:r>
          </w:p>
        </w:tc>
      </w:tr>
      <w:tr w:rsidR="002A16B6" w:rsidRPr="00844175" w:rsidTr="00706CAE">
        <w:trPr>
          <w:trHeight w:val="340"/>
        </w:trPr>
        <w:tc>
          <w:tcPr>
            <w:tcW w:w="5495" w:type="dxa"/>
          </w:tcPr>
          <w:p w:rsidR="004D4F38" w:rsidRPr="00844175" w:rsidRDefault="008006E1" w:rsidP="00844175">
            <w:pPr>
              <w:pStyle w:val="Pa5"/>
              <w:rPr>
                <w:b/>
                <w:color w:val="595959" w:themeColor="text1" w:themeTint="A6"/>
              </w:rPr>
            </w:pPr>
            <w:r w:rsidRPr="00844175">
              <w:rPr>
                <w:b/>
                <w:bCs/>
                <w:color w:val="595959" w:themeColor="text1" w:themeTint="A6"/>
              </w:rPr>
              <w:t>Basis of rent increases or rent review</w:t>
            </w:r>
          </w:p>
        </w:tc>
        <w:tc>
          <w:tcPr>
            <w:tcW w:w="4536" w:type="dxa"/>
          </w:tcPr>
          <w:p w:rsidR="004D4F38" w:rsidRPr="00844175" w:rsidRDefault="002A16B6" w:rsidP="00844175">
            <w:pPr>
              <w:pStyle w:val="Pa5"/>
              <w:rPr>
                <w:color w:val="595959" w:themeColor="text1" w:themeTint="A6"/>
              </w:rPr>
            </w:pPr>
            <w:r w:rsidRPr="00844175">
              <w:rPr>
                <w:color w:val="595959" w:themeColor="text1" w:themeTint="A6"/>
              </w:rPr>
              <w:t>Rents are usually fixed for upfront payment</w:t>
            </w:r>
          </w:p>
        </w:tc>
      </w:tr>
      <w:tr w:rsidR="002A16B6" w:rsidRPr="00844175" w:rsidTr="00706CAE">
        <w:trPr>
          <w:trHeight w:val="340"/>
        </w:trPr>
        <w:tc>
          <w:tcPr>
            <w:tcW w:w="5495" w:type="dxa"/>
          </w:tcPr>
          <w:p w:rsidR="004D4F38" w:rsidRPr="00844175" w:rsidRDefault="008006E1" w:rsidP="00844175">
            <w:pPr>
              <w:pStyle w:val="Pa5"/>
              <w:rPr>
                <w:b/>
                <w:color w:val="595959" w:themeColor="text1" w:themeTint="A6"/>
              </w:rPr>
            </w:pPr>
            <w:r w:rsidRPr="00844175">
              <w:rPr>
                <w:b/>
                <w:bCs/>
                <w:color w:val="595959" w:themeColor="text1" w:themeTint="A6"/>
              </w:rPr>
              <w:t>Frequency of rental increases or rent review</w:t>
            </w:r>
          </w:p>
        </w:tc>
        <w:tc>
          <w:tcPr>
            <w:tcW w:w="4536" w:type="dxa"/>
          </w:tcPr>
          <w:p w:rsidR="004D4F38" w:rsidRPr="00844175" w:rsidRDefault="002A16B6" w:rsidP="00844175">
            <w:pPr>
              <w:pStyle w:val="Pa5"/>
              <w:rPr>
                <w:color w:val="595959" w:themeColor="text1" w:themeTint="A6"/>
              </w:rPr>
            </w:pPr>
            <w:r w:rsidRPr="00844175">
              <w:rPr>
                <w:color w:val="595959" w:themeColor="text1" w:themeTint="A6"/>
              </w:rPr>
              <w:t>After end of upfront payment</w:t>
            </w:r>
          </w:p>
        </w:tc>
      </w:tr>
      <w:tr w:rsidR="002A16B6" w:rsidRPr="00844175" w:rsidTr="00706CAE">
        <w:trPr>
          <w:trHeight w:val="340"/>
        </w:trPr>
        <w:tc>
          <w:tcPr>
            <w:tcW w:w="5495" w:type="dxa"/>
          </w:tcPr>
          <w:p w:rsidR="004D4F38" w:rsidRPr="00844175" w:rsidRDefault="008006E1" w:rsidP="00844175">
            <w:pPr>
              <w:pStyle w:val="Pa5"/>
              <w:rPr>
                <w:b/>
                <w:color w:val="595959" w:themeColor="text1" w:themeTint="A6"/>
              </w:rPr>
            </w:pPr>
            <w:r w:rsidRPr="00844175">
              <w:rPr>
                <w:b/>
                <w:bCs/>
                <w:color w:val="595959" w:themeColor="text1" w:themeTint="A6"/>
              </w:rPr>
              <w:t>Responsibility for service charges / management fees</w:t>
            </w:r>
          </w:p>
        </w:tc>
        <w:tc>
          <w:tcPr>
            <w:tcW w:w="4536" w:type="dxa"/>
          </w:tcPr>
          <w:p w:rsidR="004D4F38" w:rsidRPr="00844175" w:rsidRDefault="002A16B6" w:rsidP="00844175">
            <w:pPr>
              <w:pStyle w:val="Pa5"/>
              <w:rPr>
                <w:color w:val="595959" w:themeColor="text1" w:themeTint="A6"/>
              </w:rPr>
            </w:pPr>
            <w:r w:rsidRPr="00844175">
              <w:rPr>
                <w:color w:val="595959" w:themeColor="text1" w:themeTint="A6"/>
              </w:rPr>
              <w:t>Tenant responsible for his pro-rata share in addition to the rent – payable yearly but and reconciled although may be subject to a ‘reasonableness’ test</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Responsibility for utilities</w:t>
            </w:r>
          </w:p>
        </w:tc>
        <w:tc>
          <w:tcPr>
            <w:tcW w:w="4536" w:type="dxa"/>
          </w:tcPr>
          <w:p w:rsidR="008006E1" w:rsidRPr="00844175" w:rsidRDefault="002A16B6" w:rsidP="00844175">
            <w:pPr>
              <w:pStyle w:val="Pa5"/>
              <w:rPr>
                <w:color w:val="595959" w:themeColor="text1" w:themeTint="A6"/>
              </w:rPr>
            </w:pPr>
            <w:r w:rsidRPr="00844175">
              <w:rPr>
                <w:color w:val="595959" w:themeColor="text1" w:themeTint="A6"/>
              </w:rPr>
              <w:t>Either landlord is responsible for all utilities, but costs are charged back to tenant via service charge, or costs are separately metered and payable by each tenant</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lastRenderedPageBreak/>
              <w:t>Responsibility for internal repairs</w:t>
            </w:r>
          </w:p>
        </w:tc>
        <w:tc>
          <w:tcPr>
            <w:tcW w:w="4536" w:type="dxa"/>
          </w:tcPr>
          <w:p w:rsidR="008006E1" w:rsidRPr="00844175" w:rsidRDefault="002A16B6" w:rsidP="00844175">
            <w:pPr>
              <w:pStyle w:val="Pa5"/>
              <w:rPr>
                <w:color w:val="595959" w:themeColor="text1" w:themeTint="A6"/>
              </w:rPr>
            </w:pPr>
            <w:r w:rsidRPr="00844175">
              <w:rPr>
                <w:color w:val="595959" w:themeColor="text1" w:themeTint="A6"/>
              </w:rPr>
              <w:t>Tenant responsible within the private leased area</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Responsibility for repairs of common parts</w:t>
            </w:r>
            <w:r w:rsidR="002A16B6" w:rsidRPr="00844175">
              <w:rPr>
                <w:b/>
                <w:bCs/>
                <w:color w:val="595959" w:themeColor="text1" w:themeTint="A6"/>
              </w:rPr>
              <w:t xml:space="preserve"> </w:t>
            </w:r>
            <w:r w:rsidRPr="00844175">
              <w:rPr>
                <w:b/>
                <w:bCs/>
                <w:color w:val="595959" w:themeColor="text1" w:themeTint="A6"/>
              </w:rPr>
              <w:t>(reception, lifts, stairs, etc.)</w:t>
            </w:r>
          </w:p>
        </w:tc>
        <w:tc>
          <w:tcPr>
            <w:tcW w:w="4536" w:type="dxa"/>
          </w:tcPr>
          <w:p w:rsidR="008006E1" w:rsidRPr="00844175" w:rsidRDefault="008006E1" w:rsidP="00844175">
            <w:pPr>
              <w:pStyle w:val="Pa5"/>
              <w:rPr>
                <w:color w:val="595959" w:themeColor="text1" w:themeTint="A6"/>
              </w:rPr>
            </w:pPr>
            <w:r w:rsidRPr="00844175">
              <w:rPr>
                <w:color w:val="595959" w:themeColor="text1" w:themeTint="A6"/>
              </w:rPr>
              <w:t>Landlord responsible but costs charged back to tenant via service charge</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Responsibility for external/structural repairs</w:t>
            </w:r>
          </w:p>
        </w:tc>
        <w:tc>
          <w:tcPr>
            <w:tcW w:w="4536" w:type="dxa"/>
          </w:tcPr>
          <w:p w:rsidR="008006E1" w:rsidRPr="00844175" w:rsidRDefault="008006E1" w:rsidP="00844175">
            <w:pPr>
              <w:pStyle w:val="Pa5"/>
              <w:rPr>
                <w:color w:val="595959" w:themeColor="text1" w:themeTint="A6"/>
              </w:rPr>
            </w:pPr>
            <w:r w:rsidRPr="00844175">
              <w:rPr>
                <w:color w:val="595959" w:themeColor="text1" w:themeTint="A6"/>
              </w:rPr>
              <w:t>Landlord responsible</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Responsibility for building insurance</w:t>
            </w:r>
          </w:p>
        </w:tc>
        <w:tc>
          <w:tcPr>
            <w:tcW w:w="4536" w:type="dxa"/>
          </w:tcPr>
          <w:p w:rsidR="008006E1" w:rsidRPr="00844175" w:rsidRDefault="008006E1" w:rsidP="00844175">
            <w:pPr>
              <w:pStyle w:val="Pa5"/>
              <w:rPr>
                <w:color w:val="595959" w:themeColor="text1" w:themeTint="A6"/>
              </w:rPr>
            </w:pPr>
            <w:r w:rsidRPr="00844175">
              <w:rPr>
                <w:color w:val="595959" w:themeColor="text1" w:themeTint="A6"/>
              </w:rPr>
              <w:t>Landlord responsible, costs only charged back if premiums are raised due to tenant’s particular activity</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Responsibility for stamp duty</w:t>
            </w:r>
          </w:p>
        </w:tc>
        <w:tc>
          <w:tcPr>
            <w:tcW w:w="4536" w:type="dxa"/>
          </w:tcPr>
          <w:p w:rsidR="008006E1" w:rsidRPr="00844175" w:rsidRDefault="008006E1" w:rsidP="00844175">
            <w:pPr>
              <w:pStyle w:val="Pa5"/>
              <w:rPr>
                <w:color w:val="595959" w:themeColor="text1" w:themeTint="A6"/>
              </w:rPr>
            </w:pPr>
            <w:r w:rsidRPr="00844175">
              <w:rPr>
                <w:color w:val="595959" w:themeColor="text1" w:themeTint="A6"/>
              </w:rPr>
              <w:t>Tenant responsible</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Responsibility for local property taxes</w:t>
            </w:r>
          </w:p>
        </w:tc>
        <w:tc>
          <w:tcPr>
            <w:tcW w:w="4536" w:type="dxa"/>
          </w:tcPr>
          <w:p w:rsidR="008006E1" w:rsidRPr="00844175" w:rsidRDefault="008006E1" w:rsidP="00844175">
            <w:pPr>
              <w:pStyle w:val="Pa5"/>
              <w:rPr>
                <w:color w:val="595959" w:themeColor="text1" w:themeTint="A6"/>
              </w:rPr>
            </w:pPr>
            <w:r w:rsidRPr="00844175">
              <w:rPr>
                <w:color w:val="595959" w:themeColor="text1" w:themeTint="A6"/>
              </w:rPr>
              <w:t>Landlord responsible</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Responsibility for VAT/</w:t>
            </w:r>
            <w:proofErr w:type="spellStart"/>
            <w:r w:rsidRPr="00844175">
              <w:rPr>
                <w:b/>
                <w:bCs/>
                <w:color w:val="595959" w:themeColor="text1" w:themeTint="A6"/>
              </w:rPr>
              <w:t>GST</w:t>
            </w:r>
            <w:proofErr w:type="spellEnd"/>
            <w:r w:rsidRPr="00844175">
              <w:rPr>
                <w:b/>
                <w:bCs/>
                <w:color w:val="595959" w:themeColor="text1" w:themeTint="A6"/>
              </w:rPr>
              <w:t xml:space="preserve"> payable on rent and service charge</w:t>
            </w:r>
          </w:p>
        </w:tc>
        <w:tc>
          <w:tcPr>
            <w:tcW w:w="4536" w:type="dxa"/>
          </w:tcPr>
          <w:p w:rsidR="008006E1" w:rsidRPr="00844175" w:rsidRDefault="008006E1" w:rsidP="00844175">
            <w:pPr>
              <w:pStyle w:val="Pa5"/>
              <w:rPr>
                <w:color w:val="595959" w:themeColor="text1" w:themeTint="A6"/>
              </w:rPr>
            </w:pPr>
            <w:r w:rsidRPr="00844175">
              <w:rPr>
                <w:color w:val="595959" w:themeColor="text1" w:themeTint="A6"/>
              </w:rPr>
              <w:t>Tenant responsible (5% on both rent and service charge). N.B. Legitimacy of VAT on rent is uncertain and subject to final judgement. Therefore currently some landlords do and some don’t charge VAT on top of rent</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Tenant subletting and assignment rights</w:t>
            </w:r>
          </w:p>
        </w:tc>
        <w:tc>
          <w:tcPr>
            <w:tcW w:w="4536" w:type="dxa"/>
          </w:tcPr>
          <w:p w:rsidR="008006E1" w:rsidRPr="00844175" w:rsidRDefault="008006E1" w:rsidP="00844175">
            <w:pPr>
              <w:pStyle w:val="Pa5"/>
              <w:spacing w:after="60" w:line="240" w:lineRule="auto"/>
              <w:rPr>
                <w:color w:val="595959" w:themeColor="text1" w:themeTint="A6"/>
              </w:rPr>
            </w:pPr>
            <w:r w:rsidRPr="00844175">
              <w:rPr>
                <w:color w:val="595959" w:themeColor="text1" w:themeTint="A6"/>
              </w:rPr>
              <w:t>Subletting and assignment to group companies possible</w:t>
            </w:r>
            <w:r w:rsidR="002A16B6" w:rsidRPr="00844175">
              <w:rPr>
                <w:color w:val="595959" w:themeColor="text1" w:themeTint="A6"/>
              </w:rPr>
              <w:t xml:space="preserve"> subject to landlord’s approval</w:t>
            </w:r>
            <w:r w:rsidR="00844175">
              <w:rPr>
                <w:color w:val="595959" w:themeColor="text1" w:themeTint="A6"/>
              </w:rPr>
              <w:t>.</w:t>
            </w:r>
          </w:p>
          <w:p w:rsidR="008006E1" w:rsidRPr="00844175" w:rsidRDefault="008006E1" w:rsidP="00844175">
            <w:pPr>
              <w:pStyle w:val="Pa5"/>
              <w:rPr>
                <w:i/>
                <w:color w:val="595959" w:themeColor="text1" w:themeTint="A6"/>
              </w:rPr>
            </w:pPr>
            <w:r w:rsidRPr="00844175">
              <w:rPr>
                <w:color w:val="595959" w:themeColor="text1" w:themeTint="A6"/>
              </w:rPr>
              <w:t>Subletting and assignment to third parties are subject to negotiation, however, generally only permitted where proof of good standing can be provided</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Tenant early termination rights</w:t>
            </w:r>
          </w:p>
        </w:tc>
        <w:tc>
          <w:tcPr>
            <w:tcW w:w="4536" w:type="dxa"/>
          </w:tcPr>
          <w:p w:rsidR="008006E1" w:rsidRPr="00844175" w:rsidRDefault="008006E1" w:rsidP="00844175">
            <w:pPr>
              <w:pStyle w:val="Pa5"/>
              <w:rPr>
                <w:color w:val="595959" w:themeColor="text1" w:themeTint="A6"/>
              </w:rPr>
            </w:pPr>
            <w:r w:rsidRPr="00844175">
              <w:rPr>
                <w:color w:val="595959" w:themeColor="text1" w:themeTint="A6"/>
              </w:rPr>
              <w:t>By break clause or through negotiation with landlord (may be subject to financial indemnity or securing a replacement tenant). Breaks are not usual: lease renewal is accepted method</w:t>
            </w:r>
          </w:p>
        </w:tc>
      </w:tr>
      <w:tr w:rsidR="002A16B6" w:rsidRPr="00844175" w:rsidTr="00706CAE">
        <w:trPr>
          <w:trHeight w:val="340"/>
        </w:trPr>
        <w:tc>
          <w:tcPr>
            <w:tcW w:w="5495" w:type="dxa"/>
          </w:tcPr>
          <w:p w:rsidR="008006E1" w:rsidRPr="00844175" w:rsidRDefault="008006E1" w:rsidP="00844175">
            <w:pPr>
              <w:pStyle w:val="Pa5"/>
              <w:rPr>
                <w:b/>
                <w:color w:val="595959" w:themeColor="text1" w:themeTint="A6"/>
              </w:rPr>
            </w:pPr>
            <w:r w:rsidRPr="00844175">
              <w:rPr>
                <w:b/>
                <w:bCs/>
                <w:color w:val="595959" w:themeColor="text1" w:themeTint="A6"/>
              </w:rPr>
              <w:t>Tenant’s building reinstatement responsibilities at lease end</w:t>
            </w:r>
          </w:p>
        </w:tc>
        <w:tc>
          <w:tcPr>
            <w:tcW w:w="4536" w:type="dxa"/>
          </w:tcPr>
          <w:p w:rsidR="008006E1" w:rsidRPr="00844175" w:rsidRDefault="008006E1" w:rsidP="00844175">
            <w:pPr>
              <w:pStyle w:val="Pa5"/>
              <w:rPr>
                <w:color w:val="595959" w:themeColor="text1" w:themeTint="A6"/>
              </w:rPr>
            </w:pPr>
            <w:r w:rsidRPr="00844175">
              <w:rPr>
                <w:color w:val="595959" w:themeColor="text1" w:themeTint="A6"/>
              </w:rPr>
              <w:t>Original condition allowing for wear and tea</w:t>
            </w:r>
            <w:r w:rsidR="002A16B6" w:rsidRPr="00844175">
              <w:rPr>
                <w:color w:val="595959" w:themeColor="text1" w:themeTint="A6"/>
              </w:rPr>
              <w:t>r</w:t>
            </w:r>
          </w:p>
        </w:tc>
      </w:tr>
    </w:tbl>
    <w:p w:rsidR="002C11E9" w:rsidRPr="002A16B6" w:rsidRDefault="002C11E9" w:rsidP="004F34D3">
      <w:pPr>
        <w:rPr>
          <w:rFonts w:ascii="Arial" w:hAnsi="Arial" w:cs="Arial"/>
          <w:color w:val="595959" w:themeColor="text1" w:themeTint="A6"/>
          <w:sz w:val="22"/>
          <w:szCs w:val="22"/>
        </w:rPr>
      </w:pPr>
    </w:p>
    <w:sectPr w:rsidR="002C11E9" w:rsidRPr="002A16B6" w:rsidSect="00706CAE">
      <w:footerReference w:type="even" r:id="rId9"/>
      <w:footerReference w:type="default" r:id="rId10"/>
      <w:headerReference w:type="first" r:id="rId11"/>
      <w:footerReference w:type="first" r:id="rId12"/>
      <w:pgSz w:w="11899" w:h="16838"/>
      <w:pgMar w:top="1440" w:right="1080" w:bottom="1134" w:left="1080" w:header="709" w:footer="3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21" w:rsidRDefault="00497521">
      <w:r>
        <w:separator/>
      </w:r>
    </w:p>
  </w:endnote>
  <w:endnote w:type="continuationSeparator" w:id="0">
    <w:p w:rsidR="00497521" w:rsidRDefault="0049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2679"/>
      <w:docPartObj>
        <w:docPartGallery w:val="Page Numbers (Bottom of Page)"/>
        <w:docPartUnique/>
      </w:docPartObj>
    </w:sdtPr>
    <w:sdtEndPr>
      <w:rPr>
        <w:rFonts w:ascii="Arial" w:hAnsi="Arial" w:cs="Arial"/>
        <w:color w:val="595959" w:themeColor="text1" w:themeTint="A6"/>
        <w:sz w:val="22"/>
        <w:szCs w:val="22"/>
      </w:rPr>
    </w:sdtEndPr>
    <w:sdtContent>
      <w:sdt>
        <w:sdtPr>
          <w:rPr>
            <w:rFonts w:ascii="Arial" w:hAnsi="Arial" w:cs="Arial"/>
            <w:color w:val="595959" w:themeColor="text1" w:themeTint="A6"/>
            <w:sz w:val="22"/>
            <w:szCs w:val="22"/>
          </w:rPr>
          <w:id w:val="-2072950837"/>
          <w:docPartObj>
            <w:docPartGallery w:val="Page Numbers (Top of Page)"/>
            <w:docPartUnique/>
          </w:docPartObj>
        </w:sdtPr>
        <w:sdtEndPr/>
        <w:sdtContent>
          <w:p w:rsidR="00845C58" w:rsidRPr="004B7D7D" w:rsidRDefault="004B7D7D" w:rsidP="004B7D7D">
            <w:pPr>
              <w:pStyle w:val="Footer"/>
              <w:tabs>
                <w:tab w:val="clear" w:pos="8640"/>
                <w:tab w:val="right" w:pos="9639"/>
              </w:tabs>
              <w:rPr>
                <w:rFonts w:ascii="Arial" w:hAnsi="Arial" w:cs="Arial"/>
                <w:color w:val="595959" w:themeColor="text1" w:themeTint="A6"/>
                <w:sz w:val="22"/>
                <w:szCs w:val="22"/>
              </w:rPr>
            </w:pPr>
            <w:r w:rsidRPr="004B7D7D">
              <w:rPr>
                <w:rFonts w:ascii="Arial" w:hAnsi="Arial" w:cs="Arial"/>
                <w:i/>
                <w:iCs/>
                <w:color w:val="595959" w:themeColor="text1" w:themeTint="A6"/>
                <w:sz w:val="22"/>
                <w:szCs w:val="22"/>
              </w:rPr>
              <w:t xml:space="preserve">Based on source material available at </w:t>
            </w:r>
            <w:hyperlink r:id="rId1" w:history="1">
              <w:r w:rsidRPr="004B7D7D">
                <w:rPr>
                  <w:rStyle w:val="Hyperlink"/>
                  <w:rFonts w:ascii="Arial" w:hAnsi="Arial" w:cs="Arial"/>
                  <w:i/>
                  <w:iCs/>
                  <w:color w:val="595959" w:themeColor="text1" w:themeTint="A6"/>
                  <w:sz w:val="22"/>
                  <w:szCs w:val="22"/>
                  <w:u w:val="none"/>
                </w:rPr>
                <w:t>www.eisf.eu</w:t>
              </w:r>
            </w:hyperlink>
            <w:r w:rsidRPr="004B7D7D">
              <w:rPr>
                <w:rFonts w:ascii="Arial" w:hAnsi="Arial" w:cs="Arial"/>
                <w:i/>
                <w:iCs/>
                <w:color w:val="595959" w:themeColor="text1" w:themeTint="A6"/>
                <w:sz w:val="22"/>
                <w:szCs w:val="22"/>
              </w:rPr>
              <w:tab/>
            </w:r>
            <w:r w:rsidR="00845C58" w:rsidRPr="004B7D7D">
              <w:rPr>
                <w:rFonts w:ascii="Arial" w:hAnsi="Arial" w:cs="Arial"/>
                <w:color w:val="595959" w:themeColor="text1" w:themeTint="A6"/>
                <w:sz w:val="22"/>
                <w:szCs w:val="22"/>
              </w:rPr>
              <w:t xml:space="preserve">Page </w:t>
            </w:r>
            <w:r w:rsidR="00845C58" w:rsidRPr="004B7D7D">
              <w:rPr>
                <w:rFonts w:ascii="Arial" w:hAnsi="Arial" w:cs="Arial"/>
                <w:bCs/>
                <w:color w:val="595959" w:themeColor="text1" w:themeTint="A6"/>
                <w:sz w:val="22"/>
                <w:szCs w:val="22"/>
              </w:rPr>
              <w:fldChar w:fldCharType="begin"/>
            </w:r>
            <w:r w:rsidR="00845C58" w:rsidRPr="004B7D7D">
              <w:rPr>
                <w:rFonts w:ascii="Arial" w:hAnsi="Arial" w:cs="Arial"/>
                <w:bCs/>
                <w:color w:val="595959" w:themeColor="text1" w:themeTint="A6"/>
                <w:sz w:val="22"/>
                <w:szCs w:val="22"/>
              </w:rPr>
              <w:instrText xml:space="preserve"> PAGE </w:instrText>
            </w:r>
            <w:r w:rsidR="00845C58" w:rsidRPr="004B7D7D">
              <w:rPr>
                <w:rFonts w:ascii="Arial" w:hAnsi="Arial" w:cs="Arial"/>
                <w:bCs/>
                <w:color w:val="595959" w:themeColor="text1" w:themeTint="A6"/>
                <w:sz w:val="22"/>
                <w:szCs w:val="22"/>
              </w:rPr>
              <w:fldChar w:fldCharType="separate"/>
            </w:r>
            <w:r w:rsidR="00844175">
              <w:rPr>
                <w:rFonts w:ascii="Arial" w:hAnsi="Arial" w:cs="Arial"/>
                <w:bCs/>
                <w:noProof/>
                <w:color w:val="595959" w:themeColor="text1" w:themeTint="A6"/>
                <w:sz w:val="22"/>
                <w:szCs w:val="22"/>
              </w:rPr>
              <w:t>2</w:t>
            </w:r>
            <w:r w:rsidR="00845C58" w:rsidRPr="004B7D7D">
              <w:rPr>
                <w:rFonts w:ascii="Arial" w:hAnsi="Arial" w:cs="Arial"/>
                <w:bCs/>
                <w:color w:val="595959" w:themeColor="text1" w:themeTint="A6"/>
                <w:sz w:val="22"/>
                <w:szCs w:val="22"/>
              </w:rPr>
              <w:fldChar w:fldCharType="end"/>
            </w:r>
            <w:r w:rsidR="00845C58" w:rsidRPr="004B7D7D">
              <w:rPr>
                <w:rFonts w:ascii="Arial" w:hAnsi="Arial" w:cs="Arial"/>
                <w:color w:val="595959" w:themeColor="text1" w:themeTint="A6"/>
                <w:sz w:val="22"/>
                <w:szCs w:val="22"/>
              </w:rPr>
              <w:t xml:space="preserve"> of </w:t>
            </w:r>
            <w:r w:rsidR="00845C58" w:rsidRPr="004B7D7D">
              <w:rPr>
                <w:rFonts w:ascii="Arial" w:hAnsi="Arial" w:cs="Arial"/>
                <w:bCs/>
                <w:color w:val="595959" w:themeColor="text1" w:themeTint="A6"/>
                <w:sz w:val="22"/>
                <w:szCs w:val="22"/>
              </w:rPr>
              <w:fldChar w:fldCharType="begin"/>
            </w:r>
            <w:r w:rsidR="00845C58" w:rsidRPr="004B7D7D">
              <w:rPr>
                <w:rFonts w:ascii="Arial" w:hAnsi="Arial" w:cs="Arial"/>
                <w:bCs/>
                <w:color w:val="595959" w:themeColor="text1" w:themeTint="A6"/>
                <w:sz w:val="22"/>
                <w:szCs w:val="22"/>
              </w:rPr>
              <w:instrText xml:space="preserve"> NUMPAGES  </w:instrText>
            </w:r>
            <w:r w:rsidR="00845C58" w:rsidRPr="004B7D7D">
              <w:rPr>
                <w:rFonts w:ascii="Arial" w:hAnsi="Arial" w:cs="Arial"/>
                <w:bCs/>
                <w:color w:val="595959" w:themeColor="text1" w:themeTint="A6"/>
                <w:sz w:val="22"/>
                <w:szCs w:val="22"/>
              </w:rPr>
              <w:fldChar w:fldCharType="separate"/>
            </w:r>
            <w:r w:rsidR="00844175">
              <w:rPr>
                <w:rFonts w:ascii="Arial" w:hAnsi="Arial" w:cs="Arial"/>
                <w:bCs/>
                <w:noProof/>
                <w:color w:val="595959" w:themeColor="text1" w:themeTint="A6"/>
                <w:sz w:val="22"/>
                <w:szCs w:val="22"/>
              </w:rPr>
              <w:t>2</w:t>
            </w:r>
            <w:r w:rsidR="00845C58" w:rsidRPr="004B7D7D">
              <w:rPr>
                <w:rFonts w:ascii="Arial" w:hAnsi="Arial" w:cs="Arial"/>
                <w:bCs/>
                <w:color w:val="595959" w:themeColor="text1" w:themeTint="A6"/>
                <w:sz w:val="22"/>
                <w:szCs w:val="22"/>
              </w:rPr>
              <w:fldChar w:fldCharType="end"/>
            </w:r>
          </w:p>
        </w:sdtContent>
      </w:sdt>
    </w:sdtContent>
  </w:sdt>
  <w:p w:rsidR="00845C58" w:rsidRPr="004B7D7D" w:rsidRDefault="00845C58">
    <w:pPr>
      <w:pStyle w:val="Footer"/>
      <w:rPr>
        <w:rFonts w:ascii="Arial" w:hAnsi="Arial" w:cs="Arial"/>
        <w:color w:val="595959" w:themeColor="text1" w:themeTint="A6"/>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6439"/>
      <w:docPartObj>
        <w:docPartGallery w:val="Page Numbers (Bottom of Page)"/>
        <w:docPartUnique/>
      </w:docPartObj>
    </w:sdtPr>
    <w:sdtEndPr>
      <w:rPr>
        <w:rFonts w:ascii="Arial" w:hAnsi="Arial" w:cs="Arial"/>
        <w:color w:val="595959" w:themeColor="text1" w:themeTint="A6"/>
        <w:sz w:val="22"/>
        <w:szCs w:val="22"/>
      </w:rPr>
    </w:sdtEndPr>
    <w:sdtContent>
      <w:sdt>
        <w:sdtPr>
          <w:rPr>
            <w:rFonts w:ascii="Arial" w:hAnsi="Arial" w:cs="Arial"/>
            <w:color w:val="595959" w:themeColor="text1" w:themeTint="A6"/>
            <w:sz w:val="22"/>
            <w:szCs w:val="22"/>
          </w:rPr>
          <w:id w:val="974873988"/>
          <w:docPartObj>
            <w:docPartGallery w:val="Page Numbers (Top of Page)"/>
            <w:docPartUnique/>
          </w:docPartObj>
        </w:sdtPr>
        <w:sdtEndPr/>
        <w:sdtContent>
          <w:p w:rsidR="00C80763" w:rsidRPr="004B7D7D" w:rsidRDefault="00C80763" w:rsidP="00C80763">
            <w:pPr>
              <w:pStyle w:val="Footer"/>
              <w:tabs>
                <w:tab w:val="clear" w:pos="8640"/>
                <w:tab w:val="right" w:pos="9639"/>
              </w:tabs>
              <w:rPr>
                <w:rFonts w:ascii="Arial" w:hAnsi="Arial" w:cs="Arial"/>
                <w:color w:val="595959" w:themeColor="text1" w:themeTint="A6"/>
                <w:sz w:val="22"/>
                <w:szCs w:val="22"/>
              </w:rPr>
            </w:pPr>
            <w:r w:rsidRPr="004B7D7D">
              <w:rPr>
                <w:rFonts w:ascii="Arial" w:hAnsi="Arial" w:cs="Arial"/>
                <w:i/>
                <w:iCs/>
                <w:color w:val="595959" w:themeColor="text1" w:themeTint="A6"/>
                <w:sz w:val="22"/>
                <w:szCs w:val="22"/>
              </w:rPr>
              <w:t xml:space="preserve">Based on source material available at </w:t>
            </w:r>
            <w:hyperlink r:id="rId1" w:history="1">
              <w:r w:rsidRPr="004B7D7D">
                <w:rPr>
                  <w:rStyle w:val="Hyperlink"/>
                  <w:rFonts w:ascii="Arial" w:hAnsi="Arial" w:cs="Arial"/>
                  <w:i/>
                  <w:iCs/>
                  <w:color w:val="595959" w:themeColor="text1" w:themeTint="A6"/>
                  <w:sz w:val="22"/>
                  <w:szCs w:val="22"/>
                  <w:u w:val="none"/>
                </w:rPr>
                <w:t>www.eisf.eu</w:t>
              </w:r>
            </w:hyperlink>
            <w:r w:rsidRPr="004B7D7D">
              <w:rPr>
                <w:rFonts w:ascii="Arial" w:hAnsi="Arial" w:cs="Arial"/>
                <w:i/>
                <w:iCs/>
                <w:color w:val="595959" w:themeColor="text1" w:themeTint="A6"/>
                <w:sz w:val="22"/>
                <w:szCs w:val="22"/>
              </w:rPr>
              <w:tab/>
            </w:r>
            <w:r w:rsidRPr="004B7D7D">
              <w:rPr>
                <w:rFonts w:ascii="Arial" w:hAnsi="Arial" w:cs="Arial"/>
                <w:color w:val="595959" w:themeColor="text1" w:themeTint="A6"/>
                <w:sz w:val="22"/>
                <w:szCs w:val="22"/>
              </w:rPr>
              <w:t xml:space="preserve">Page </w:t>
            </w:r>
            <w:r w:rsidRPr="004B7D7D">
              <w:rPr>
                <w:rFonts w:ascii="Arial" w:hAnsi="Arial" w:cs="Arial"/>
                <w:bCs/>
                <w:color w:val="595959" w:themeColor="text1" w:themeTint="A6"/>
                <w:sz w:val="22"/>
                <w:szCs w:val="22"/>
              </w:rPr>
              <w:fldChar w:fldCharType="begin"/>
            </w:r>
            <w:r w:rsidRPr="004B7D7D">
              <w:rPr>
                <w:rFonts w:ascii="Arial" w:hAnsi="Arial" w:cs="Arial"/>
                <w:bCs/>
                <w:color w:val="595959" w:themeColor="text1" w:themeTint="A6"/>
                <w:sz w:val="22"/>
                <w:szCs w:val="22"/>
              </w:rPr>
              <w:instrText xml:space="preserve"> PAGE </w:instrText>
            </w:r>
            <w:r w:rsidRPr="004B7D7D">
              <w:rPr>
                <w:rFonts w:ascii="Arial" w:hAnsi="Arial" w:cs="Arial"/>
                <w:bCs/>
                <w:color w:val="595959" w:themeColor="text1" w:themeTint="A6"/>
                <w:sz w:val="22"/>
                <w:szCs w:val="22"/>
              </w:rPr>
              <w:fldChar w:fldCharType="separate"/>
            </w:r>
            <w:r w:rsidR="002A16B6">
              <w:rPr>
                <w:rFonts w:ascii="Arial" w:hAnsi="Arial" w:cs="Arial"/>
                <w:bCs/>
                <w:noProof/>
                <w:color w:val="595959" w:themeColor="text1" w:themeTint="A6"/>
                <w:sz w:val="22"/>
                <w:szCs w:val="22"/>
              </w:rPr>
              <w:t>3</w:t>
            </w:r>
            <w:r w:rsidRPr="004B7D7D">
              <w:rPr>
                <w:rFonts w:ascii="Arial" w:hAnsi="Arial" w:cs="Arial"/>
                <w:bCs/>
                <w:color w:val="595959" w:themeColor="text1" w:themeTint="A6"/>
                <w:sz w:val="22"/>
                <w:szCs w:val="22"/>
              </w:rPr>
              <w:fldChar w:fldCharType="end"/>
            </w:r>
            <w:r w:rsidRPr="004B7D7D">
              <w:rPr>
                <w:rFonts w:ascii="Arial" w:hAnsi="Arial" w:cs="Arial"/>
                <w:color w:val="595959" w:themeColor="text1" w:themeTint="A6"/>
                <w:sz w:val="22"/>
                <w:szCs w:val="22"/>
              </w:rPr>
              <w:t xml:space="preserve"> of </w:t>
            </w:r>
            <w:r w:rsidRPr="004B7D7D">
              <w:rPr>
                <w:rFonts w:ascii="Arial" w:hAnsi="Arial" w:cs="Arial"/>
                <w:bCs/>
                <w:color w:val="595959" w:themeColor="text1" w:themeTint="A6"/>
                <w:sz w:val="22"/>
                <w:szCs w:val="22"/>
              </w:rPr>
              <w:fldChar w:fldCharType="begin"/>
            </w:r>
            <w:r w:rsidRPr="004B7D7D">
              <w:rPr>
                <w:rFonts w:ascii="Arial" w:hAnsi="Arial" w:cs="Arial"/>
                <w:bCs/>
                <w:color w:val="595959" w:themeColor="text1" w:themeTint="A6"/>
                <w:sz w:val="22"/>
                <w:szCs w:val="22"/>
              </w:rPr>
              <w:instrText xml:space="preserve"> NUMPAGES  </w:instrText>
            </w:r>
            <w:r w:rsidRPr="004B7D7D">
              <w:rPr>
                <w:rFonts w:ascii="Arial" w:hAnsi="Arial" w:cs="Arial"/>
                <w:bCs/>
                <w:color w:val="595959" w:themeColor="text1" w:themeTint="A6"/>
                <w:sz w:val="22"/>
                <w:szCs w:val="22"/>
              </w:rPr>
              <w:fldChar w:fldCharType="separate"/>
            </w:r>
            <w:r w:rsidR="002A16B6">
              <w:rPr>
                <w:rFonts w:ascii="Arial" w:hAnsi="Arial" w:cs="Arial"/>
                <w:bCs/>
                <w:noProof/>
                <w:color w:val="595959" w:themeColor="text1" w:themeTint="A6"/>
                <w:sz w:val="22"/>
                <w:szCs w:val="22"/>
              </w:rPr>
              <w:t>3</w:t>
            </w:r>
            <w:r w:rsidRPr="004B7D7D">
              <w:rPr>
                <w:rFonts w:ascii="Arial" w:hAnsi="Arial" w:cs="Arial"/>
                <w:bCs/>
                <w:color w:val="595959" w:themeColor="text1" w:themeTint="A6"/>
                <w:sz w:val="22"/>
                <w:szCs w:val="22"/>
              </w:rPr>
              <w:fldChar w:fldCharType="end"/>
            </w:r>
          </w:p>
        </w:sdtContent>
      </w:sdt>
    </w:sdtContent>
  </w:sdt>
  <w:p w:rsidR="00C80763" w:rsidRPr="004B7D7D" w:rsidRDefault="00C80763" w:rsidP="00C80763">
    <w:pPr>
      <w:pStyle w:val="Footer"/>
      <w:rPr>
        <w:rFonts w:ascii="Arial" w:hAnsi="Arial" w:cs="Arial"/>
        <w:color w:val="595959" w:themeColor="text1" w:themeTint="A6"/>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imes New Roman"/>
        <w:color w:val="7030A0"/>
        <w:sz w:val="20"/>
        <w:szCs w:val="20"/>
        <w:lang w:eastAsia="en-US"/>
      </w:rPr>
      <w:id w:val="-93629543"/>
      <w:docPartObj>
        <w:docPartGallery w:val="Page Numbers (Bottom of Page)"/>
        <w:docPartUnique/>
      </w:docPartObj>
    </w:sdtPr>
    <w:sdtEndPr>
      <w:rPr>
        <w:color w:val="595959" w:themeColor="text1" w:themeTint="A6"/>
        <w:sz w:val="22"/>
        <w:szCs w:val="22"/>
      </w:rPr>
    </w:sdtEndPr>
    <w:sdtContent>
      <w:sdt>
        <w:sdtPr>
          <w:rPr>
            <w:rFonts w:ascii="Cambria" w:hAnsi="Cambria" w:cs="Times New Roman"/>
            <w:color w:val="7030A0"/>
            <w:sz w:val="20"/>
            <w:szCs w:val="20"/>
            <w:lang w:eastAsia="en-US"/>
          </w:rPr>
          <w:id w:val="860082579"/>
          <w:docPartObj>
            <w:docPartGallery w:val="Page Numbers (Top of Page)"/>
            <w:docPartUnique/>
          </w:docPartObj>
        </w:sdtPr>
        <w:sdtEndPr>
          <w:rPr>
            <w:color w:val="595959" w:themeColor="text1" w:themeTint="A6"/>
            <w:sz w:val="22"/>
            <w:szCs w:val="22"/>
          </w:rPr>
        </w:sdtEndPr>
        <w:sdtContent>
          <w:p w:rsidR="00C66446" w:rsidRDefault="00C66446" w:rsidP="00C66446">
            <w:pPr>
              <w:pStyle w:val="Default"/>
            </w:pPr>
          </w:p>
          <w:p w:rsidR="00845C58" w:rsidRPr="00B21E9F" w:rsidRDefault="00C66446" w:rsidP="00C66446">
            <w:pPr>
              <w:pStyle w:val="Footer"/>
              <w:tabs>
                <w:tab w:val="clear" w:pos="8640"/>
                <w:tab w:val="right" w:pos="9639"/>
              </w:tabs>
              <w:rPr>
                <w:rFonts w:ascii="Arial" w:hAnsi="Arial" w:cs="Arial"/>
                <w:color w:val="595959" w:themeColor="text1" w:themeTint="A6"/>
                <w:sz w:val="22"/>
                <w:szCs w:val="22"/>
              </w:rPr>
            </w:pPr>
            <w:r w:rsidRPr="00B21E9F">
              <w:rPr>
                <w:rFonts w:ascii="Arial" w:hAnsi="Arial" w:cs="Arial"/>
                <w:i/>
                <w:iCs/>
                <w:color w:val="595959" w:themeColor="text1" w:themeTint="A6"/>
                <w:sz w:val="22"/>
                <w:szCs w:val="22"/>
              </w:rPr>
              <w:t xml:space="preserve">Based on source material available at </w:t>
            </w:r>
            <w:hyperlink r:id="rId1" w:history="1">
              <w:r w:rsidRPr="00FF7A34">
                <w:rPr>
                  <w:rStyle w:val="Hyperlink"/>
                  <w:rFonts w:ascii="Arial" w:hAnsi="Arial" w:cs="Arial"/>
                  <w:i/>
                  <w:iCs/>
                  <w:color w:val="595959" w:themeColor="text1" w:themeTint="A6"/>
                  <w:sz w:val="22"/>
                  <w:szCs w:val="22"/>
                  <w:u w:val="none"/>
                </w:rPr>
                <w:t>www.eisf.eu</w:t>
              </w:r>
            </w:hyperlink>
            <w:r w:rsidRPr="00B21E9F">
              <w:rPr>
                <w:rFonts w:ascii="Arial" w:hAnsi="Arial" w:cs="Arial"/>
                <w:i/>
                <w:iCs/>
                <w:color w:val="595959" w:themeColor="text1" w:themeTint="A6"/>
                <w:sz w:val="22"/>
                <w:szCs w:val="22"/>
              </w:rPr>
              <w:tab/>
            </w:r>
            <w:r w:rsidR="00845C58" w:rsidRPr="00B21E9F">
              <w:rPr>
                <w:rFonts w:ascii="Arial" w:hAnsi="Arial" w:cs="Arial"/>
                <w:color w:val="595959" w:themeColor="text1" w:themeTint="A6"/>
                <w:sz w:val="22"/>
                <w:szCs w:val="22"/>
              </w:rPr>
              <w:t xml:space="preserve">Page </w:t>
            </w:r>
            <w:r w:rsidR="00845C58" w:rsidRPr="00B21E9F">
              <w:rPr>
                <w:rFonts w:ascii="Arial" w:hAnsi="Arial" w:cs="Arial"/>
                <w:bCs/>
                <w:color w:val="595959" w:themeColor="text1" w:themeTint="A6"/>
                <w:sz w:val="22"/>
                <w:szCs w:val="22"/>
              </w:rPr>
              <w:fldChar w:fldCharType="begin"/>
            </w:r>
            <w:r w:rsidR="00845C58" w:rsidRPr="00B21E9F">
              <w:rPr>
                <w:rFonts w:ascii="Arial" w:hAnsi="Arial" w:cs="Arial"/>
                <w:bCs/>
                <w:color w:val="595959" w:themeColor="text1" w:themeTint="A6"/>
                <w:sz w:val="22"/>
                <w:szCs w:val="22"/>
              </w:rPr>
              <w:instrText xml:space="preserve"> PAGE </w:instrText>
            </w:r>
            <w:r w:rsidR="00845C58" w:rsidRPr="00B21E9F">
              <w:rPr>
                <w:rFonts w:ascii="Arial" w:hAnsi="Arial" w:cs="Arial"/>
                <w:bCs/>
                <w:color w:val="595959" w:themeColor="text1" w:themeTint="A6"/>
                <w:sz w:val="22"/>
                <w:szCs w:val="22"/>
              </w:rPr>
              <w:fldChar w:fldCharType="separate"/>
            </w:r>
            <w:r w:rsidR="00844175">
              <w:rPr>
                <w:rFonts w:ascii="Arial" w:hAnsi="Arial" w:cs="Arial"/>
                <w:bCs/>
                <w:noProof/>
                <w:color w:val="595959" w:themeColor="text1" w:themeTint="A6"/>
                <w:sz w:val="22"/>
                <w:szCs w:val="22"/>
              </w:rPr>
              <w:t>1</w:t>
            </w:r>
            <w:r w:rsidR="00845C58" w:rsidRPr="00B21E9F">
              <w:rPr>
                <w:rFonts w:ascii="Arial" w:hAnsi="Arial" w:cs="Arial"/>
                <w:bCs/>
                <w:color w:val="595959" w:themeColor="text1" w:themeTint="A6"/>
                <w:sz w:val="22"/>
                <w:szCs w:val="22"/>
              </w:rPr>
              <w:fldChar w:fldCharType="end"/>
            </w:r>
            <w:r w:rsidR="00845C58" w:rsidRPr="00B21E9F">
              <w:rPr>
                <w:rFonts w:ascii="Arial" w:hAnsi="Arial" w:cs="Arial"/>
                <w:color w:val="595959" w:themeColor="text1" w:themeTint="A6"/>
                <w:sz w:val="22"/>
                <w:szCs w:val="22"/>
              </w:rPr>
              <w:t xml:space="preserve"> of </w:t>
            </w:r>
            <w:r w:rsidR="00845C58" w:rsidRPr="00B21E9F">
              <w:rPr>
                <w:rFonts w:ascii="Arial" w:hAnsi="Arial" w:cs="Arial"/>
                <w:bCs/>
                <w:color w:val="595959" w:themeColor="text1" w:themeTint="A6"/>
                <w:sz w:val="22"/>
                <w:szCs w:val="22"/>
              </w:rPr>
              <w:fldChar w:fldCharType="begin"/>
            </w:r>
            <w:r w:rsidR="00845C58" w:rsidRPr="00B21E9F">
              <w:rPr>
                <w:rFonts w:ascii="Arial" w:hAnsi="Arial" w:cs="Arial"/>
                <w:bCs/>
                <w:color w:val="595959" w:themeColor="text1" w:themeTint="A6"/>
                <w:sz w:val="22"/>
                <w:szCs w:val="22"/>
              </w:rPr>
              <w:instrText xml:space="preserve"> NUMPAGES  </w:instrText>
            </w:r>
            <w:r w:rsidR="00845C58" w:rsidRPr="00B21E9F">
              <w:rPr>
                <w:rFonts w:ascii="Arial" w:hAnsi="Arial" w:cs="Arial"/>
                <w:bCs/>
                <w:color w:val="595959" w:themeColor="text1" w:themeTint="A6"/>
                <w:sz w:val="22"/>
                <w:szCs w:val="22"/>
              </w:rPr>
              <w:fldChar w:fldCharType="separate"/>
            </w:r>
            <w:r w:rsidR="00844175">
              <w:rPr>
                <w:rFonts w:ascii="Arial" w:hAnsi="Arial" w:cs="Arial"/>
                <w:bCs/>
                <w:noProof/>
                <w:color w:val="595959" w:themeColor="text1" w:themeTint="A6"/>
                <w:sz w:val="22"/>
                <w:szCs w:val="22"/>
              </w:rPr>
              <w:t>2</w:t>
            </w:r>
            <w:r w:rsidR="00845C58" w:rsidRPr="00B21E9F">
              <w:rPr>
                <w:rFonts w:ascii="Arial" w:hAnsi="Arial" w:cs="Arial"/>
                <w:bCs/>
                <w:color w:val="595959" w:themeColor="text1" w:themeTint="A6"/>
                <w:sz w:val="22"/>
                <w:szCs w:val="22"/>
              </w:rPr>
              <w:fldChar w:fldCharType="end"/>
            </w:r>
          </w:p>
        </w:sdtContent>
      </w:sdt>
    </w:sdtContent>
  </w:sdt>
  <w:p w:rsidR="00845C58" w:rsidRDefault="0084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21" w:rsidRDefault="00497521">
      <w:r>
        <w:separator/>
      </w:r>
    </w:p>
  </w:footnote>
  <w:footnote w:type="continuationSeparator" w:id="0">
    <w:p w:rsidR="00497521" w:rsidRDefault="0049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E6" w:rsidRDefault="0082476B" w:rsidP="0082476B">
    <w:pPr>
      <w:tabs>
        <w:tab w:val="left" w:pos="1560"/>
        <w:tab w:val="left" w:pos="3119"/>
      </w:tabs>
      <w:contextualSpacing/>
      <w:rPr>
        <w:rFonts w:ascii="Arial" w:hAnsi="Arial"/>
        <w:color w:val="E30613"/>
        <w:sz w:val="50"/>
      </w:rPr>
    </w:pPr>
    <w:r>
      <w:rPr>
        <w:noProof/>
        <w:lang w:eastAsia="en-GB"/>
      </w:rPr>
      <w:drawing>
        <wp:anchor distT="0" distB="0" distL="114300" distR="114300" simplePos="0" relativeHeight="251657727" behindDoc="1" locked="0" layoutInCell="1" allowOverlap="1" wp14:anchorId="08EAD8DF" wp14:editId="348E924B">
          <wp:simplePos x="0" y="0"/>
          <wp:positionH relativeFrom="column">
            <wp:posOffset>-157879</wp:posOffset>
          </wp:positionH>
          <wp:positionV relativeFrom="paragraph">
            <wp:posOffset>-46178</wp:posOffset>
          </wp:positionV>
          <wp:extent cx="1021501" cy="1084521"/>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1021501" cy="1084521"/>
                  </a:xfrm>
                  <a:prstGeom prst="rect">
                    <a:avLst/>
                  </a:prstGeom>
                </pic:spPr>
              </pic:pic>
            </a:graphicData>
          </a:graphic>
          <wp14:sizeRelH relativeFrom="page">
            <wp14:pctWidth>0</wp14:pctWidth>
          </wp14:sizeRelH>
          <wp14:sizeRelV relativeFrom="page">
            <wp14:pctHeight>0</wp14:pctHeight>
          </wp14:sizeRelV>
        </wp:anchor>
      </w:drawing>
    </w:r>
    <w:r w:rsidR="006848E6" w:rsidRPr="008C2740">
      <w:rPr>
        <w:rFonts w:ascii="Arial" w:hAnsi="Arial"/>
        <w:sz w:val="50"/>
      </w:rPr>
      <w:tab/>
    </w:r>
    <w:r w:rsidR="006848E6" w:rsidRPr="0082476B">
      <w:rPr>
        <w:rFonts w:ascii="Arial" w:hAnsi="Arial"/>
        <w:color w:val="E30613"/>
        <w:sz w:val="50"/>
      </w:rPr>
      <w:t xml:space="preserve">Tool </w:t>
    </w:r>
    <w:r w:rsidR="008006E1">
      <w:rPr>
        <w:rFonts w:ascii="Arial" w:hAnsi="Arial"/>
        <w:color w:val="E30613"/>
        <w:sz w:val="50"/>
      </w:rPr>
      <w:t>5</w:t>
    </w:r>
    <w:r w:rsidR="0008515E" w:rsidRPr="0082476B">
      <w:rPr>
        <w:rFonts w:ascii="Arial" w:hAnsi="Arial"/>
        <w:color w:val="E30613"/>
        <w:sz w:val="50"/>
      </w:rPr>
      <w:br/>
    </w:r>
    <w:r w:rsidR="0008515E" w:rsidRPr="0082476B">
      <w:rPr>
        <w:rFonts w:ascii="Arial" w:hAnsi="Arial"/>
        <w:color w:val="E30613"/>
        <w:sz w:val="50"/>
      </w:rPr>
      <w:tab/>
    </w:r>
    <w:r w:rsidR="008006E1">
      <w:rPr>
        <w:rFonts w:ascii="Arial" w:hAnsi="Arial"/>
        <w:b/>
        <w:color w:val="E30613"/>
        <w:sz w:val="50"/>
      </w:rPr>
      <w:t>Building lease terms</w:t>
    </w:r>
  </w:p>
  <w:p w:rsidR="0082476B" w:rsidRDefault="0082476B" w:rsidP="0082476B">
    <w:pPr>
      <w:tabs>
        <w:tab w:val="left" w:pos="1560"/>
        <w:tab w:val="left" w:pos="3119"/>
      </w:tabs>
      <w:contextualSpacing/>
      <w:rPr>
        <w:rFonts w:ascii="Arial" w:hAnsi="Arial"/>
        <w:color w:val="E30613"/>
        <w:sz w:val="50"/>
      </w:rPr>
    </w:pPr>
  </w:p>
  <w:p w:rsidR="0082476B" w:rsidRPr="0082476B" w:rsidRDefault="0082476B" w:rsidP="0082476B">
    <w:pPr>
      <w:tabs>
        <w:tab w:val="left" w:pos="1560"/>
        <w:tab w:val="left" w:pos="3119"/>
      </w:tabs>
      <w:contextualSpacing/>
      <w:rPr>
        <w:rFonts w:ascii="Arial" w:hAnsi="Arial" w:cs="Arial"/>
        <w:color w:val="E30613"/>
        <w:sz w:val="22"/>
        <w:szCs w:val="22"/>
      </w:rPr>
    </w:pPr>
  </w:p>
  <w:p w:rsidR="006848E6" w:rsidRPr="0082476B" w:rsidRDefault="006848E6" w:rsidP="009D179A">
    <w:pPr>
      <w:tabs>
        <w:tab w:val="left" w:pos="2127"/>
        <w:tab w:val="left" w:pos="3402"/>
      </w:tabs>
      <w:contextualSpacing/>
      <w:rPr>
        <w:rFonts w:ascii="Arial" w:hAnsi="Arial" w:cs="Arial"/>
        <w:color w:val="E30613"/>
        <w:sz w:val="22"/>
        <w:szCs w:val="22"/>
      </w:rPr>
    </w:pPr>
  </w:p>
  <w:p w:rsidR="006848E6" w:rsidRPr="0082476B" w:rsidRDefault="006848E6">
    <w:pPr>
      <w:pStyle w:val="Header"/>
      <w:contextualSpacing/>
      <w:rPr>
        <w:rFonts w:ascii="Arial" w:hAnsi="Arial" w:cs="Arial"/>
        <w:color w:val="E30613"/>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6">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3">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4">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5"/>
  </w:num>
  <w:num w:numId="5">
    <w:abstractNumId w:val="19"/>
  </w:num>
  <w:num w:numId="6">
    <w:abstractNumId w:val="11"/>
  </w:num>
  <w:num w:numId="7">
    <w:abstractNumId w:val="0"/>
  </w:num>
  <w:num w:numId="8">
    <w:abstractNumId w:val="2"/>
  </w:num>
  <w:num w:numId="9">
    <w:abstractNumId w:val="10"/>
  </w:num>
  <w:num w:numId="10">
    <w:abstractNumId w:val="7"/>
  </w:num>
  <w:num w:numId="11">
    <w:abstractNumId w:val="16"/>
  </w:num>
  <w:num w:numId="12">
    <w:abstractNumId w:val="15"/>
  </w:num>
  <w:num w:numId="13">
    <w:abstractNumId w:val="20"/>
  </w:num>
  <w:num w:numId="14">
    <w:abstractNumId w:val="3"/>
  </w:num>
  <w:num w:numId="15">
    <w:abstractNumId w:val="8"/>
  </w:num>
  <w:num w:numId="16">
    <w:abstractNumId w:val="17"/>
  </w:num>
  <w:num w:numId="17">
    <w:abstractNumId w:val="18"/>
  </w:num>
  <w:num w:numId="18">
    <w:abstractNumId w:val="14"/>
  </w:num>
  <w:num w:numId="19">
    <w:abstractNumId w:val="1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460F0"/>
    <w:rsid w:val="00051C44"/>
    <w:rsid w:val="000548DA"/>
    <w:rsid w:val="0008515E"/>
    <w:rsid w:val="000B630B"/>
    <w:rsid w:val="000C5C25"/>
    <w:rsid w:val="002427A6"/>
    <w:rsid w:val="00257E6B"/>
    <w:rsid w:val="00260847"/>
    <w:rsid w:val="002A16B6"/>
    <w:rsid w:val="002A3AB9"/>
    <w:rsid w:val="002C11E9"/>
    <w:rsid w:val="002C6899"/>
    <w:rsid w:val="003E2593"/>
    <w:rsid w:val="003E70E9"/>
    <w:rsid w:val="003F1B6D"/>
    <w:rsid w:val="00406861"/>
    <w:rsid w:val="00497521"/>
    <w:rsid w:val="004B7D7D"/>
    <w:rsid w:val="004C64B1"/>
    <w:rsid w:val="004D4F38"/>
    <w:rsid w:val="004F34D3"/>
    <w:rsid w:val="00592E68"/>
    <w:rsid w:val="006848E6"/>
    <w:rsid w:val="00687602"/>
    <w:rsid w:val="00706CAE"/>
    <w:rsid w:val="00764FCE"/>
    <w:rsid w:val="00766017"/>
    <w:rsid w:val="007C3A06"/>
    <w:rsid w:val="007D07CF"/>
    <w:rsid w:val="008006E1"/>
    <w:rsid w:val="008108BF"/>
    <w:rsid w:val="0082476B"/>
    <w:rsid w:val="00844175"/>
    <w:rsid w:val="00845C58"/>
    <w:rsid w:val="008733D2"/>
    <w:rsid w:val="008E77BD"/>
    <w:rsid w:val="00960E94"/>
    <w:rsid w:val="009D179A"/>
    <w:rsid w:val="00B06EA0"/>
    <w:rsid w:val="00B21E9F"/>
    <w:rsid w:val="00C20A65"/>
    <w:rsid w:val="00C5414A"/>
    <w:rsid w:val="00C66446"/>
    <w:rsid w:val="00C7008B"/>
    <w:rsid w:val="00C80763"/>
    <w:rsid w:val="00C80928"/>
    <w:rsid w:val="00D61B4D"/>
    <w:rsid w:val="00DA6DFF"/>
    <w:rsid w:val="00DF2AEF"/>
    <w:rsid w:val="00EF6E1F"/>
    <w:rsid w:val="00F4240C"/>
    <w:rsid w:val="00F553C7"/>
    <w:rsid w:val="00F71B38"/>
    <w:rsid w:val="00FA418E"/>
    <w:rsid w:val="00FF7A3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table" w:styleId="TableGrid">
    <w:name w:val="Table Grid"/>
    <w:basedOn w:val="TableNormal"/>
    <w:rsid w:val="0081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446"/>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C66446"/>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table" w:styleId="TableGrid">
    <w:name w:val="Table Grid"/>
    <w:basedOn w:val="TableNormal"/>
    <w:rsid w:val="0081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446"/>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C66446"/>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darren\Desktop\Office%20Opening\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darren\Desktop\Office%20Opening\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darren\Desktop\Office%20Opening\www.eis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7CBE-B8B0-4FC6-88DD-2A29A60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3040</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Lomon</dc:creator>
  <cp:lastModifiedBy>Darren Lomon</cp:lastModifiedBy>
  <cp:revision>4</cp:revision>
  <cp:lastPrinted>2013-07-25T14:08:00Z</cp:lastPrinted>
  <dcterms:created xsi:type="dcterms:W3CDTF">2015-02-26T09:45:00Z</dcterms:created>
  <dcterms:modified xsi:type="dcterms:W3CDTF">2015-03-02T09:50:00Z</dcterms:modified>
</cp:coreProperties>
</file>