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2E48" w14:textId="77777777" w:rsidR="00C511D2" w:rsidRDefault="00C511D2" w:rsidP="00C511D2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</w:rPr>
      </w:pPr>
      <w:r w:rsidRPr="0005645C">
        <w:rPr>
          <w:rFonts w:ascii="Arial" w:hAnsi="Arial" w:cs="Arial"/>
          <w:color w:val="595959" w:themeColor="text1" w:themeTint="A6"/>
        </w:rPr>
        <w:t xml:space="preserve">De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nombreux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propriétaires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gramStart"/>
      <w:r w:rsidRPr="0005645C">
        <w:rPr>
          <w:rFonts w:ascii="Arial" w:hAnsi="Arial" w:cs="Arial"/>
          <w:color w:val="595959" w:themeColor="text1" w:themeTint="A6"/>
        </w:rPr>
        <w:t>et</w:t>
      </w:r>
      <w:proofErr w:type="gramEnd"/>
      <w:r w:rsidRPr="0005645C">
        <w:rPr>
          <w:rFonts w:ascii="Arial" w:hAnsi="Arial" w:cs="Arial"/>
          <w:color w:val="595959" w:themeColor="text1" w:themeTint="A6"/>
        </w:rPr>
        <w:t xml:space="preserve"> agents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locaux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de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ces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marchés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connaissent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relativement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mal les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attentes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d’un occupant international. Il </w:t>
      </w:r>
      <w:proofErr w:type="spellStart"/>
      <w:proofErr w:type="gramStart"/>
      <w:r w:rsidRPr="0005645C">
        <w:rPr>
          <w:rFonts w:ascii="Arial" w:hAnsi="Arial" w:cs="Arial"/>
          <w:color w:val="595959" w:themeColor="text1" w:themeTint="A6"/>
        </w:rPr>
        <w:t>est</w:t>
      </w:r>
      <w:proofErr w:type="spellEnd"/>
      <w:proofErr w:type="gram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conseillé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de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définir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clairement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toutes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les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exigences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, et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ce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,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dès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le début. Nous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recommandons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donc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de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rédiger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une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lettre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d’intention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gramStart"/>
      <w:r w:rsidRPr="0005645C">
        <w:rPr>
          <w:rFonts w:ascii="Arial" w:hAnsi="Arial" w:cs="Arial"/>
          <w:color w:val="595959" w:themeColor="text1" w:themeTint="A6"/>
        </w:rPr>
        <w:t xml:space="preserve">non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contraignante</w:t>
      </w:r>
      <w:proofErr w:type="spellEnd"/>
      <w:proofErr w:type="gramEnd"/>
      <w:r w:rsidRPr="0005645C">
        <w:rPr>
          <w:rFonts w:ascii="Arial" w:hAnsi="Arial" w:cs="Arial"/>
          <w:color w:val="595959" w:themeColor="text1" w:themeTint="A6"/>
        </w:rPr>
        <w:t xml:space="preserve"> et exhaustive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reprenant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les conditions du bail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que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vous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estimez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importantes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. </w:t>
      </w:r>
      <w:proofErr w:type="spellStart"/>
      <w:proofErr w:type="gramStart"/>
      <w:r w:rsidRPr="0005645C">
        <w:rPr>
          <w:rFonts w:ascii="Arial" w:hAnsi="Arial" w:cs="Arial"/>
          <w:color w:val="595959" w:themeColor="text1" w:themeTint="A6"/>
        </w:rPr>
        <w:t>Cela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réduira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tout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risque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de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malentendu</w:t>
      </w:r>
      <w:proofErr w:type="spellEnd"/>
      <w:r w:rsidRPr="0005645C">
        <w:rPr>
          <w:rFonts w:ascii="Arial" w:hAnsi="Arial" w:cs="Arial"/>
          <w:color w:val="595959" w:themeColor="text1" w:themeTint="A6"/>
        </w:rPr>
        <w:t>.</w:t>
      </w:r>
      <w:proofErr w:type="gramEnd"/>
      <w:r w:rsidRPr="0005645C">
        <w:rPr>
          <w:rFonts w:ascii="Arial" w:hAnsi="Arial" w:cs="Arial"/>
          <w:color w:val="595959" w:themeColor="text1" w:themeTint="A6"/>
        </w:rPr>
        <w:t xml:space="preserve"> </w:t>
      </w:r>
    </w:p>
    <w:p w14:paraId="684511FB" w14:textId="77777777" w:rsidR="00C511D2" w:rsidRPr="0005645C" w:rsidRDefault="00C511D2" w:rsidP="00C511D2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</w:p>
    <w:p w14:paraId="0A0C628A" w14:textId="77777777" w:rsidR="00C511D2" w:rsidRPr="0005645C" w:rsidRDefault="00C511D2" w:rsidP="00C511D2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</w:rPr>
      </w:pPr>
      <w:proofErr w:type="spellStart"/>
      <w:proofErr w:type="gramStart"/>
      <w:r w:rsidRPr="0005645C">
        <w:rPr>
          <w:rFonts w:ascii="Arial" w:hAnsi="Arial" w:cs="Arial"/>
          <w:color w:val="595959" w:themeColor="text1" w:themeTint="A6"/>
        </w:rPr>
        <w:t>Vous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trouverez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ci-après des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exemples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de conditions.</w:t>
      </w:r>
      <w:proofErr w:type="gram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Elles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devront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être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adaptées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aux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particularités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de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chaque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lieu </w:t>
      </w:r>
      <w:proofErr w:type="gramStart"/>
      <w:r w:rsidRPr="0005645C">
        <w:rPr>
          <w:rFonts w:ascii="Arial" w:hAnsi="Arial" w:cs="Arial"/>
          <w:color w:val="595959" w:themeColor="text1" w:themeTint="A6"/>
        </w:rPr>
        <w:t>et</w:t>
      </w:r>
      <w:proofErr w:type="gramEnd"/>
      <w:r w:rsidRPr="0005645C">
        <w:rPr>
          <w:rFonts w:ascii="Arial" w:hAnsi="Arial" w:cs="Arial"/>
          <w:color w:val="595959" w:themeColor="text1" w:themeTint="A6"/>
        </w:rPr>
        <w:t xml:space="preserve"> en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fonction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des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lois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et </w:t>
      </w:r>
      <w:proofErr w:type="spellStart"/>
      <w:r w:rsidRPr="0005645C">
        <w:rPr>
          <w:rFonts w:ascii="Arial" w:hAnsi="Arial" w:cs="Arial"/>
          <w:color w:val="595959" w:themeColor="text1" w:themeTint="A6"/>
        </w:rPr>
        <w:t>réglementations</w:t>
      </w:r>
      <w:proofErr w:type="spellEnd"/>
      <w:r w:rsidRPr="0005645C">
        <w:rPr>
          <w:rFonts w:ascii="Arial" w:hAnsi="Arial" w:cs="Arial"/>
          <w:color w:val="595959" w:themeColor="text1" w:themeTint="A6"/>
        </w:rPr>
        <w:t xml:space="preserve"> du pays. </w:t>
      </w:r>
    </w:p>
    <w:p w14:paraId="5A6166E2" w14:textId="77777777" w:rsidR="004F34D3" w:rsidRPr="002A16B6" w:rsidRDefault="004F34D3" w:rsidP="00C511D2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C511D2" w:rsidRPr="00844175" w14:paraId="410EDBD9" w14:textId="77777777" w:rsidTr="00556894">
        <w:trPr>
          <w:trHeight w:val="340"/>
        </w:trPr>
        <w:tc>
          <w:tcPr>
            <w:tcW w:w="5495" w:type="dxa"/>
            <w:shd w:val="clear" w:color="auto" w:fill="E30613"/>
          </w:tcPr>
          <w:p w14:paraId="65B4E5A2" w14:textId="54AFF591" w:rsidR="00C511D2" w:rsidRPr="00844175" w:rsidRDefault="00C511D2" w:rsidP="00C511D2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05645C">
              <w:rPr>
                <w:rFonts w:ascii="Arial" w:hAnsi="Arial" w:cs="Arial"/>
                <w:b/>
                <w:bCs/>
                <w:color w:val="FFFFFF"/>
              </w:rPr>
              <w:t>Principales</w:t>
            </w:r>
            <w:proofErr w:type="spellEnd"/>
            <w:r w:rsidRPr="0005645C">
              <w:rPr>
                <w:rFonts w:ascii="Arial" w:hAnsi="Arial" w:cs="Arial"/>
                <w:b/>
                <w:bCs/>
                <w:color w:val="FFFFFF"/>
              </w:rPr>
              <w:t xml:space="preserve"> conditions du bail</w:t>
            </w:r>
          </w:p>
        </w:tc>
        <w:tc>
          <w:tcPr>
            <w:tcW w:w="4536" w:type="dxa"/>
            <w:shd w:val="clear" w:color="auto" w:fill="E30613"/>
            <w:vAlign w:val="center"/>
          </w:tcPr>
          <w:p w14:paraId="67DA6984" w14:textId="00F73A53" w:rsidR="00C511D2" w:rsidRPr="00844175" w:rsidRDefault="00C511D2" w:rsidP="00C511D2">
            <w:pPr>
              <w:pStyle w:val="Pa5"/>
              <w:rPr>
                <w:b/>
                <w:color w:val="FFFFFF" w:themeColor="background1"/>
              </w:rPr>
            </w:pPr>
            <w:proofErr w:type="spellStart"/>
            <w:r w:rsidRPr="0005645C">
              <w:rPr>
                <w:b/>
                <w:bCs/>
                <w:color w:val="FFFFFF"/>
              </w:rPr>
              <w:t>Agence</w:t>
            </w:r>
            <w:proofErr w:type="spellEnd"/>
            <w:r w:rsidRPr="0005645C">
              <w:rPr>
                <w:b/>
                <w:bCs/>
                <w:color w:val="FFFFFF"/>
              </w:rPr>
              <w:t xml:space="preserve"> et lieu </w:t>
            </w:r>
          </w:p>
        </w:tc>
      </w:tr>
      <w:tr w:rsidR="00C511D2" w:rsidRPr="00844175" w14:paraId="22DABEB2" w14:textId="77777777" w:rsidTr="00556894">
        <w:trPr>
          <w:trHeight w:val="340"/>
        </w:trPr>
        <w:tc>
          <w:tcPr>
            <w:tcW w:w="5495" w:type="dxa"/>
            <w:vAlign w:val="center"/>
          </w:tcPr>
          <w:p w14:paraId="7214E713" w14:textId="4112722E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Unité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mesure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26F1BC8A" w14:textId="3E2D5EBA" w:rsidR="00C511D2" w:rsidRPr="00844175" w:rsidRDefault="00C511D2" w:rsidP="00C511D2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05645C">
              <w:rPr>
                <w:color w:val="595959" w:themeColor="text1" w:themeTint="A6"/>
              </w:rPr>
              <w:t>Mètres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carrés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</w:p>
        </w:tc>
      </w:tr>
      <w:tr w:rsidR="00C511D2" w:rsidRPr="00844175" w14:paraId="339FEDE1" w14:textId="77777777" w:rsidTr="00556894">
        <w:trPr>
          <w:trHeight w:val="340"/>
        </w:trPr>
        <w:tc>
          <w:tcPr>
            <w:tcW w:w="5495" w:type="dxa"/>
            <w:vAlign w:val="center"/>
          </w:tcPr>
          <w:p w14:paraId="3CD26DDC" w14:textId="200B3EB8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Loyer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6FCD576D" w14:textId="7832CBF7" w:rsidR="00C511D2" w:rsidRPr="00844175" w:rsidRDefault="00C511D2" w:rsidP="00C511D2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05645C">
              <w:rPr>
                <w:color w:val="595959" w:themeColor="text1" w:themeTint="A6"/>
              </w:rPr>
              <w:t>Indiqué</w:t>
            </w:r>
            <w:proofErr w:type="spellEnd"/>
            <w:r w:rsidRPr="0005645C">
              <w:rPr>
                <w:color w:val="595959" w:themeColor="text1" w:themeTint="A6"/>
              </w:rPr>
              <w:t xml:space="preserve"> en US$ </w:t>
            </w:r>
            <w:proofErr w:type="spellStart"/>
            <w:r w:rsidRPr="0005645C">
              <w:rPr>
                <w:color w:val="595959" w:themeColor="text1" w:themeTint="A6"/>
              </w:rPr>
              <w:t>ou</w:t>
            </w:r>
            <w:proofErr w:type="spellEnd"/>
            <w:r w:rsidRPr="0005645C">
              <w:rPr>
                <w:color w:val="595959" w:themeColor="text1" w:themeTint="A6"/>
              </w:rPr>
              <w:t xml:space="preserve"> en devise locale/m2/an </w:t>
            </w:r>
          </w:p>
        </w:tc>
      </w:tr>
      <w:tr w:rsidR="00C511D2" w:rsidRPr="00844175" w14:paraId="60C3DFB2" w14:textId="77777777" w:rsidTr="00556894">
        <w:trPr>
          <w:trHeight w:val="340"/>
        </w:trPr>
        <w:tc>
          <w:tcPr>
            <w:tcW w:w="5495" w:type="dxa"/>
            <w:vAlign w:val="center"/>
          </w:tcPr>
          <w:p w14:paraId="19759F31" w14:textId="2F02460F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Durée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typique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du bail </w:t>
            </w:r>
          </w:p>
        </w:tc>
        <w:tc>
          <w:tcPr>
            <w:tcW w:w="4536" w:type="dxa"/>
            <w:vAlign w:val="center"/>
          </w:tcPr>
          <w:p w14:paraId="5068D518" w14:textId="3C072E29" w:rsidR="00C511D2" w:rsidRPr="00844175" w:rsidRDefault="00C511D2" w:rsidP="00C511D2">
            <w:pPr>
              <w:pStyle w:val="Pa5"/>
              <w:rPr>
                <w:color w:val="595959" w:themeColor="text1" w:themeTint="A6"/>
              </w:rPr>
            </w:pPr>
            <w:r w:rsidRPr="0005645C">
              <w:rPr>
                <w:color w:val="595959" w:themeColor="text1" w:themeTint="A6"/>
              </w:rPr>
              <w:t xml:space="preserve">3–5 </w:t>
            </w:r>
            <w:proofErr w:type="spellStart"/>
            <w:r w:rsidRPr="0005645C">
              <w:rPr>
                <w:color w:val="595959" w:themeColor="text1" w:themeTint="A6"/>
              </w:rPr>
              <w:t>ans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</w:p>
        </w:tc>
      </w:tr>
      <w:tr w:rsidR="00C511D2" w:rsidRPr="00844175" w14:paraId="3D7AD939" w14:textId="77777777" w:rsidTr="00556894">
        <w:trPr>
          <w:trHeight w:val="340"/>
        </w:trPr>
        <w:tc>
          <w:tcPr>
            <w:tcW w:w="5495" w:type="dxa"/>
            <w:vAlign w:val="center"/>
          </w:tcPr>
          <w:p w14:paraId="556991AB" w14:textId="7D7BF6A8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Fréquence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des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loyers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(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anticipés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) </w:t>
            </w:r>
          </w:p>
        </w:tc>
        <w:tc>
          <w:tcPr>
            <w:tcW w:w="4536" w:type="dxa"/>
            <w:vAlign w:val="center"/>
          </w:tcPr>
          <w:p w14:paraId="606FD63D" w14:textId="02179096" w:rsidR="00C511D2" w:rsidRPr="00844175" w:rsidRDefault="00C511D2" w:rsidP="00C511D2">
            <w:pPr>
              <w:pStyle w:val="Pa5"/>
              <w:rPr>
                <w:i/>
                <w:color w:val="595959" w:themeColor="text1" w:themeTint="A6"/>
              </w:rPr>
            </w:pPr>
            <w:r w:rsidRPr="0005645C">
              <w:rPr>
                <w:color w:val="595959" w:themeColor="text1" w:themeTint="A6"/>
              </w:rPr>
              <w:t xml:space="preserve">3 </w:t>
            </w:r>
            <w:proofErr w:type="spellStart"/>
            <w:r w:rsidRPr="0005645C">
              <w:rPr>
                <w:color w:val="595959" w:themeColor="text1" w:themeTint="A6"/>
              </w:rPr>
              <w:t>ans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d’avance</w:t>
            </w:r>
            <w:proofErr w:type="spellEnd"/>
            <w:r w:rsidRPr="0005645C">
              <w:rPr>
                <w:color w:val="595959" w:themeColor="text1" w:themeTint="A6"/>
              </w:rPr>
              <w:t xml:space="preserve">, </w:t>
            </w:r>
            <w:proofErr w:type="spellStart"/>
            <w:r w:rsidRPr="0005645C">
              <w:rPr>
                <w:color w:val="595959" w:themeColor="text1" w:themeTint="A6"/>
              </w:rPr>
              <w:t>deuxième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paiement</w:t>
            </w:r>
            <w:proofErr w:type="spellEnd"/>
            <w:r w:rsidRPr="0005645C">
              <w:rPr>
                <w:color w:val="595959" w:themeColor="text1" w:themeTint="A6"/>
              </w:rPr>
              <w:t xml:space="preserve"> 2 </w:t>
            </w:r>
            <w:proofErr w:type="spellStart"/>
            <w:r w:rsidRPr="0005645C">
              <w:rPr>
                <w:color w:val="595959" w:themeColor="text1" w:themeTint="A6"/>
              </w:rPr>
              <w:t>ans</w:t>
            </w:r>
            <w:proofErr w:type="spellEnd"/>
            <w:r w:rsidRPr="0005645C">
              <w:rPr>
                <w:color w:val="595959" w:themeColor="text1" w:themeTint="A6"/>
              </w:rPr>
              <w:t xml:space="preserve"> en </w:t>
            </w:r>
            <w:proofErr w:type="spellStart"/>
            <w:r w:rsidRPr="0005645C">
              <w:rPr>
                <w:color w:val="595959" w:themeColor="text1" w:themeTint="A6"/>
              </w:rPr>
              <w:t>avance</w:t>
            </w:r>
            <w:proofErr w:type="spellEnd"/>
            <w:r w:rsidRPr="0005645C">
              <w:rPr>
                <w:color w:val="595959" w:themeColor="text1" w:themeTint="A6"/>
              </w:rPr>
              <w:t xml:space="preserve">, </w:t>
            </w:r>
            <w:proofErr w:type="spellStart"/>
            <w:r w:rsidRPr="0005645C">
              <w:rPr>
                <w:color w:val="595959" w:themeColor="text1" w:themeTint="A6"/>
              </w:rPr>
              <w:t>ou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totalité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versée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d’avance</w:t>
            </w:r>
            <w:proofErr w:type="spellEnd"/>
            <w:proofErr w:type="gramStart"/>
            <w:r w:rsidRPr="0005645C">
              <w:rPr>
                <w:color w:val="595959" w:themeColor="text1" w:themeTint="A6"/>
              </w:rPr>
              <w:t>. </w:t>
            </w:r>
            <w:proofErr w:type="gramEnd"/>
            <w:r w:rsidRPr="0005645C">
              <w:rPr>
                <w:color w:val="595959" w:themeColor="text1" w:themeTint="A6"/>
              </w:rPr>
              <w:t xml:space="preserve">Il </w:t>
            </w:r>
            <w:proofErr w:type="spellStart"/>
            <w:r w:rsidRPr="0005645C">
              <w:rPr>
                <w:color w:val="595959" w:themeColor="text1" w:themeTint="A6"/>
              </w:rPr>
              <w:t>faudra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négocier</w:t>
            </w:r>
            <w:proofErr w:type="spellEnd"/>
            <w:r w:rsidRPr="0005645C">
              <w:rPr>
                <w:color w:val="595959" w:themeColor="text1" w:themeTint="A6"/>
              </w:rPr>
              <w:t xml:space="preserve"> les clauses du bail relatives au </w:t>
            </w:r>
            <w:proofErr w:type="spellStart"/>
            <w:r w:rsidRPr="0005645C">
              <w:rPr>
                <w:color w:val="595959" w:themeColor="text1" w:themeTint="A6"/>
              </w:rPr>
              <w:t>remboursement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ou</w:t>
            </w:r>
            <w:proofErr w:type="spellEnd"/>
            <w:r w:rsidRPr="0005645C">
              <w:rPr>
                <w:color w:val="595959" w:themeColor="text1" w:themeTint="A6"/>
              </w:rPr>
              <w:t xml:space="preserve"> à </w:t>
            </w:r>
            <w:proofErr w:type="spellStart"/>
            <w:r w:rsidRPr="0005645C">
              <w:rPr>
                <w:color w:val="595959" w:themeColor="text1" w:themeTint="A6"/>
              </w:rPr>
              <w:t>une</w:t>
            </w:r>
            <w:proofErr w:type="spellEnd"/>
            <w:r w:rsidRPr="0005645C">
              <w:rPr>
                <w:color w:val="595959" w:themeColor="text1" w:themeTint="A6"/>
              </w:rPr>
              <w:t xml:space="preserve"> location </w:t>
            </w:r>
            <w:proofErr w:type="spellStart"/>
            <w:r w:rsidRPr="0005645C">
              <w:rPr>
                <w:color w:val="595959" w:themeColor="text1" w:themeTint="A6"/>
              </w:rPr>
              <w:t>inutilisée</w:t>
            </w:r>
            <w:proofErr w:type="spellEnd"/>
            <w:r w:rsidRPr="0005645C">
              <w:rPr>
                <w:color w:val="595959" w:themeColor="text1" w:themeTint="A6"/>
              </w:rPr>
              <w:t xml:space="preserve"> en </w:t>
            </w:r>
            <w:proofErr w:type="spellStart"/>
            <w:r w:rsidRPr="0005645C">
              <w:rPr>
                <w:color w:val="595959" w:themeColor="text1" w:themeTint="A6"/>
              </w:rPr>
              <w:t>cas</w:t>
            </w:r>
            <w:proofErr w:type="spellEnd"/>
            <w:r w:rsidRPr="0005645C">
              <w:rPr>
                <w:color w:val="595959" w:themeColor="text1" w:themeTint="A6"/>
              </w:rPr>
              <w:t xml:space="preserve"> de </w:t>
            </w:r>
            <w:proofErr w:type="spellStart"/>
            <w:r w:rsidRPr="0005645C">
              <w:rPr>
                <w:color w:val="595959" w:themeColor="text1" w:themeTint="A6"/>
              </w:rPr>
              <w:t>résiliation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anticipée</w:t>
            </w:r>
            <w:proofErr w:type="spellEnd"/>
            <w:r w:rsidRPr="0005645C">
              <w:rPr>
                <w:color w:val="595959" w:themeColor="text1" w:themeTint="A6"/>
              </w:rPr>
              <w:t xml:space="preserve">. </w:t>
            </w:r>
          </w:p>
        </w:tc>
      </w:tr>
      <w:tr w:rsidR="00C511D2" w:rsidRPr="00844175" w14:paraId="7DDBAE41" w14:textId="77777777" w:rsidTr="00556894">
        <w:trPr>
          <w:trHeight w:val="340"/>
        </w:trPr>
        <w:tc>
          <w:tcPr>
            <w:tcW w:w="5495" w:type="dxa"/>
            <w:vAlign w:val="center"/>
          </w:tcPr>
          <w:p w14:paraId="66B516AD" w14:textId="17B27A9A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r w:rsidRPr="0005645C">
              <w:rPr>
                <w:b/>
                <w:bCs/>
                <w:color w:val="595959" w:themeColor="text1" w:themeTint="A6"/>
              </w:rPr>
              <w:t xml:space="preserve">Caution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typique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(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exprimée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en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nombre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mois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loyer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) </w:t>
            </w:r>
          </w:p>
        </w:tc>
        <w:tc>
          <w:tcPr>
            <w:tcW w:w="4536" w:type="dxa"/>
            <w:vAlign w:val="center"/>
          </w:tcPr>
          <w:p w14:paraId="4C33E4C1" w14:textId="2A351C3C" w:rsidR="00C511D2" w:rsidRPr="00844175" w:rsidRDefault="00C511D2" w:rsidP="00C511D2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05645C">
              <w:rPr>
                <w:color w:val="595959" w:themeColor="text1" w:themeTint="A6"/>
              </w:rPr>
              <w:t>Néant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</w:p>
        </w:tc>
      </w:tr>
      <w:tr w:rsidR="00C511D2" w:rsidRPr="00844175" w14:paraId="2DA5A443" w14:textId="77777777" w:rsidTr="00556894">
        <w:trPr>
          <w:trHeight w:val="340"/>
        </w:trPr>
        <w:tc>
          <w:tcPr>
            <w:tcW w:w="5495" w:type="dxa"/>
            <w:vAlign w:val="center"/>
          </w:tcPr>
          <w:p w14:paraId="6FB8F443" w14:textId="2E863721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r w:rsidRPr="0005645C">
              <w:rPr>
                <w:b/>
                <w:bCs/>
                <w:color w:val="595959" w:themeColor="text1" w:themeTint="A6"/>
              </w:rPr>
              <w:t xml:space="preserve">Le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locataire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a-t-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il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des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droits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statutaires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pour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renouveler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le bail </w:t>
            </w:r>
          </w:p>
        </w:tc>
        <w:tc>
          <w:tcPr>
            <w:tcW w:w="4536" w:type="dxa"/>
            <w:vAlign w:val="center"/>
          </w:tcPr>
          <w:p w14:paraId="257FA9E6" w14:textId="6A7A971F" w:rsidR="00C511D2" w:rsidRPr="00844175" w:rsidRDefault="00C511D2" w:rsidP="00C511D2">
            <w:pPr>
              <w:pStyle w:val="Pa5"/>
              <w:rPr>
                <w:color w:val="595959" w:themeColor="text1" w:themeTint="A6"/>
              </w:rPr>
            </w:pPr>
            <w:r w:rsidRPr="0005645C">
              <w:rPr>
                <w:color w:val="595959" w:themeColor="text1" w:themeTint="A6"/>
              </w:rPr>
              <w:t xml:space="preserve">Non – </w:t>
            </w:r>
            <w:proofErr w:type="spellStart"/>
            <w:r w:rsidRPr="0005645C">
              <w:rPr>
                <w:color w:val="595959" w:themeColor="text1" w:themeTint="A6"/>
              </w:rPr>
              <w:t>sauf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si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cela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est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négocié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dans</w:t>
            </w:r>
            <w:proofErr w:type="spellEnd"/>
            <w:r w:rsidRPr="0005645C">
              <w:rPr>
                <w:color w:val="595959" w:themeColor="text1" w:themeTint="A6"/>
              </w:rPr>
              <w:t xml:space="preserve"> le bail </w:t>
            </w:r>
            <w:proofErr w:type="spellStart"/>
            <w:r w:rsidRPr="0005645C">
              <w:rPr>
                <w:color w:val="595959" w:themeColor="text1" w:themeTint="A6"/>
              </w:rPr>
              <w:t>d’origine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</w:p>
        </w:tc>
      </w:tr>
      <w:tr w:rsidR="00C511D2" w:rsidRPr="00844175" w14:paraId="2403E281" w14:textId="77777777" w:rsidTr="00556894">
        <w:trPr>
          <w:trHeight w:val="340"/>
        </w:trPr>
        <w:tc>
          <w:tcPr>
            <w:tcW w:w="5495" w:type="dxa"/>
            <w:vAlign w:val="center"/>
          </w:tcPr>
          <w:p w14:paraId="469B71A9" w14:textId="386EAAF8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r w:rsidRPr="0005645C">
              <w:rPr>
                <w:b/>
                <w:bCs/>
                <w:color w:val="595959" w:themeColor="text1" w:themeTint="A6"/>
              </w:rPr>
              <w:t xml:space="preserve">Base des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hausses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du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loyer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ou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réexamen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du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loyer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46439A2" w14:textId="516E21AC" w:rsidR="00C511D2" w:rsidRPr="00844175" w:rsidRDefault="00C511D2" w:rsidP="00C511D2">
            <w:pPr>
              <w:pStyle w:val="Pa5"/>
              <w:rPr>
                <w:color w:val="595959" w:themeColor="text1" w:themeTint="A6"/>
              </w:rPr>
            </w:pPr>
            <w:r w:rsidRPr="0005645C">
              <w:rPr>
                <w:color w:val="595959" w:themeColor="text1" w:themeTint="A6"/>
              </w:rPr>
              <w:t xml:space="preserve">Les </w:t>
            </w:r>
            <w:proofErr w:type="spellStart"/>
            <w:r w:rsidRPr="0005645C">
              <w:rPr>
                <w:color w:val="595959" w:themeColor="text1" w:themeTint="A6"/>
              </w:rPr>
              <w:t>loyers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sont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généralement</w:t>
            </w:r>
            <w:proofErr w:type="spellEnd"/>
            <w:r w:rsidRPr="0005645C">
              <w:rPr>
                <w:color w:val="595959" w:themeColor="text1" w:themeTint="A6"/>
              </w:rPr>
              <w:t xml:space="preserve"> fixes en </w:t>
            </w:r>
            <w:proofErr w:type="spellStart"/>
            <w:r w:rsidRPr="0005645C">
              <w:rPr>
                <w:color w:val="595959" w:themeColor="text1" w:themeTint="A6"/>
              </w:rPr>
              <w:t>cas</w:t>
            </w:r>
            <w:proofErr w:type="spellEnd"/>
            <w:r w:rsidRPr="0005645C">
              <w:rPr>
                <w:color w:val="595959" w:themeColor="text1" w:themeTint="A6"/>
              </w:rPr>
              <w:t xml:space="preserve"> de </w:t>
            </w:r>
            <w:proofErr w:type="spellStart"/>
            <w:r w:rsidRPr="0005645C">
              <w:rPr>
                <w:color w:val="595959" w:themeColor="text1" w:themeTint="A6"/>
              </w:rPr>
              <w:t>paiement</w:t>
            </w:r>
            <w:proofErr w:type="spellEnd"/>
            <w:r w:rsidRPr="0005645C">
              <w:rPr>
                <w:color w:val="595959" w:themeColor="text1" w:themeTint="A6"/>
              </w:rPr>
              <w:t xml:space="preserve"> initial </w:t>
            </w:r>
          </w:p>
        </w:tc>
      </w:tr>
      <w:tr w:rsidR="00C511D2" w:rsidRPr="00844175" w14:paraId="2A0F42BB" w14:textId="77777777" w:rsidTr="00556894">
        <w:trPr>
          <w:trHeight w:val="340"/>
        </w:trPr>
        <w:tc>
          <w:tcPr>
            <w:tcW w:w="5495" w:type="dxa"/>
            <w:vAlign w:val="center"/>
          </w:tcPr>
          <w:p w14:paraId="441542DC" w14:textId="3FFCC177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Fréquence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des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hausses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loyer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ou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des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réexamens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du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loyer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7EB2BD25" w14:textId="1203BBD3" w:rsidR="00C511D2" w:rsidRPr="00844175" w:rsidRDefault="00C511D2" w:rsidP="00C511D2">
            <w:pPr>
              <w:pStyle w:val="Pa5"/>
              <w:rPr>
                <w:color w:val="595959" w:themeColor="text1" w:themeTint="A6"/>
              </w:rPr>
            </w:pPr>
            <w:r w:rsidRPr="0005645C">
              <w:rPr>
                <w:color w:val="595959" w:themeColor="text1" w:themeTint="A6"/>
              </w:rPr>
              <w:t xml:space="preserve">Après la fin du </w:t>
            </w:r>
            <w:proofErr w:type="spellStart"/>
            <w:r w:rsidRPr="0005645C">
              <w:rPr>
                <w:color w:val="595959" w:themeColor="text1" w:themeTint="A6"/>
              </w:rPr>
              <w:t>paiement</w:t>
            </w:r>
            <w:proofErr w:type="spellEnd"/>
            <w:r w:rsidRPr="0005645C">
              <w:rPr>
                <w:color w:val="595959" w:themeColor="text1" w:themeTint="A6"/>
              </w:rPr>
              <w:t xml:space="preserve"> initial </w:t>
            </w:r>
          </w:p>
        </w:tc>
      </w:tr>
      <w:tr w:rsidR="00C511D2" w:rsidRPr="00844175" w14:paraId="03EA7AD6" w14:textId="77777777" w:rsidTr="00556894">
        <w:trPr>
          <w:trHeight w:val="340"/>
        </w:trPr>
        <w:tc>
          <w:tcPr>
            <w:tcW w:w="5495" w:type="dxa"/>
            <w:vAlign w:val="center"/>
          </w:tcPr>
          <w:p w14:paraId="267FD760" w14:textId="57C3FB5E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Responsabilité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à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l’égard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des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frais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 service /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frais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gestion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7C5C7DBD" w14:textId="77777777" w:rsidR="00C511D2" w:rsidRPr="0005645C" w:rsidRDefault="00C511D2" w:rsidP="00C511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05645C">
              <w:rPr>
                <w:rFonts w:ascii="Arial" w:hAnsi="Arial" w:cs="Arial"/>
                <w:color w:val="595959" w:themeColor="text1" w:themeTint="A6"/>
              </w:rPr>
              <w:t xml:space="preserve">Le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locataire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est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responsable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sa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part au pro rata en sus du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loyer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– payable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chaque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année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rapproché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mais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peut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faire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l’objet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contrôles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pour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s’assurer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caractère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  <w:p w14:paraId="117656BE" w14:textId="0350BB44" w:rsidR="00C511D2" w:rsidRPr="00844175" w:rsidRDefault="00C511D2" w:rsidP="00C511D2">
            <w:pPr>
              <w:pStyle w:val="Pa5"/>
              <w:rPr>
                <w:color w:val="595959" w:themeColor="text1" w:themeTint="A6"/>
              </w:rPr>
            </w:pPr>
            <w:r w:rsidRPr="0005645C">
              <w:rPr>
                <w:color w:val="595959" w:themeColor="text1" w:themeTint="A6"/>
              </w:rPr>
              <w:t xml:space="preserve">« </w:t>
            </w:r>
            <w:proofErr w:type="spellStart"/>
            <w:proofErr w:type="gramStart"/>
            <w:r w:rsidRPr="0005645C">
              <w:rPr>
                <w:color w:val="595959" w:themeColor="text1" w:themeTint="A6"/>
              </w:rPr>
              <w:t>raisonnable</w:t>
            </w:r>
            <w:proofErr w:type="spellEnd"/>
            <w:proofErr w:type="gramEnd"/>
            <w:r w:rsidRPr="0005645C">
              <w:rPr>
                <w:color w:val="595959" w:themeColor="text1" w:themeTint="A6"/>
              </w:rPr>
              <w:t xml:space="preserve"> ». </w:t>
            </w:r>
          </w:p>
        </w:tc>
      </w:tr>
      <w:tr w:rsidR="00C511D2" w:rsidRPr="00844175" w14:paraId="23719C4E" w14:textId="77777777" w:rsidTr="00556894">
        <w:trPr>
          <w:trHeight w:val="340"/>
        </w:trPr>
        <w:tc>
          <w:tcPr>
            <w:tcW w:w="5495" w:type="dxa"/>
            <w:vAlign w:val="center"/>
          </w:tcPr>
          <w:p w14:paraId="557725FA" w14:textId="54C97D5F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Responsabilité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à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l’égard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des services </w:t>
            </w:r>
          </w:p>
        </w:tc>
        <w:tc>
          <w:tcPr>
            <w:tcW w:w="4536" w:type="dxa"/>
            <w:vAlign w:val="center"/>
          </w:tcPr>
          <w:p w14:paraId="56F8D78A" w14:textId="139CC725" w:rsidR="00C511D2" w:rsidRPr="00844175" w:rsidRDefault="00C511D2" w:rsidP="00C511D2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05645C">
              <w:rPr>
                <w:color w:val="595959" w:themeColor="text1" w:themeTint="A6"/>
              </w:rPr>
              <w:t>Soit</w:t>
            </w:r>
            <w:proofErr w:type="spellEnd"/>
            <w:r w:rsidRPr="0005645C">
              <w:rPr>
                <w:color w:val="595959" w:themeColor="text1" w:themeTint="A6"/>
              </w:rPr>
              <w:t xml:space="preserve"> le </w:t>
            </w:r>
            <w:proofErr w:type="spellStart"/>
            <w:r w:rsidRPr="0005645C">
              <w:rPr>
                <w:color w:val="595959" w:themeColor="text1" w:themeTint="A6"/>
              </w:rPr>
              <w:t>propriétaire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est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responsable</w:t>
            </w:r>
            <w:proofErr w:type="spellEnd"/>
            <w:r w:rsidRPr="0005645C">
              <w:rPr>
                <w:color w:val="595959" w:themeColor="text1" w:themeTint="A6"/>
              </w:rPr>
              <w:t xml:space="preserve"> de </w:t>
            </w:r>
            <w:proofErr w:type="spellStart"/>
            <w:r w:rsidRPr="0005645C">
              <w:rPr>
                <w:color w:val="595959" w:themeColor="text1" w:themeTint="A6"/>
              </w:rPr>
              <w:lastRenderedPageBreak/>
              <w:t>tous</w:t>
            </w:r>
            <w:proofErr w:type="spellEnd"/>
            <w:r w:rsidRPr="0005645C">
              <w:rPr>
                <w:color w:val="595959" w:themeColor="text1" w:themeTint="A6"/>
              </w:rPr>
              <w:t xml:space="preserve"> les services, </w:t>
            </w:r>
            <w:proofErr w:type="spellStart"/>
            <w:r w:rsidRPr="0005645C">
              <w:rPr>
                <w:color w:val="595959" w:themeColor="text1" w:themeTint="A6"/>
              </w:rPr>
              <w:t>mais</w:t>
            </w:r>
            <w:proofErr w:type="spellEnd"/>
            <w:r w:rsidRPr="0005645C">
              <w:rPr>
                <w:color w:val="595959" w:themeColor="text1" w:themeTint="A6"/>
              </w:rPr>
              <w:t xml:space="preserve"> les </w:t>
            </w:r>
            <w:proofErr w:type="spellStart"/>
            <w:r w:rsidRPr="0005645C">
              <w:rPr>
                <w:color w:val="595959" w:themeColor="text1" w:themeTint="A6"/>
              </w:rPr>
              <w:t>coûts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seront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facturés</w:t>
            </w:r>
            <w:proofErr w:type="spellEnd"/>
            <w:r w:rsidRPr="0005645C">
              <w:rPr>
                <w:color w:val="595959" w:themeColor="text1" w:themeTint="A6"/>
              </w:rPr>
              <w:t xml:space="preserve"> au </w:t>
            </w:r>
            <w:proofErr w:type="spellStart"/>
            <w:r w:rsidRPr="0005645C">
              <w:rPr>
                <w:color w:val="595959" w:themeColor="text1" w:themeTint="A6"/>
              </w:rPr>
              <w:t>locataire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dans</w:t>
            </w:r>
            <w:proofErr w:type="spellEnd"/>
            <w:r w:rsidRPr="0005645C">
              <w:rPr>
                <w:color w:val="595959" w:themeColor="text1" w:themeTint="A6"/>
              </w:rPr>
              <w:t xml:space="preserve"> les </w:t>
            </w:r>
            <w:proofErr w:type="spellStart"/>
            <w:r w:rsidRPr="0005645C">
              <w:rPr>
                <w:color w:val="595959" w:themeColor="text1" w:themeTint="A6"/>
              </w:rPr>
              <w:t>frais</w:t>
            </w:r>
            <w:proofErr w:type="spellEnd"/>
            <w:r w:rsidRPr="0005645C">
              <w:rPr>
                <w:color w:val="595959" w:themeColor="text1" w:themeTint="A6"/>
              </w:rPr>
              <w:t xml:space="preserve"> de service, </w:t>
            </w:r>
            <w:proofErr w:type="spellStart"/>
            <w:r w:rsidRPr="0005645C">
              <w:rPr>
                <w:color w:val="595959" w:themeColor="text1" w:themeTint="A6"/>
              </w:rPr>
              <w:t>soit</w:t>
            </w:r>
            <w:proofErr w:type="spellEnd"/>
            <w:r w:rsidRPr="0005645C">
              <w:rPr>
                <w:color w:val="595959" w:themeColor="text1" w:themeTint="A6"/>
              </w:rPr>
              <w:t xml:space="preserve"> les </w:t>
            </w:r>
            <w:proofErr w:type="spellStart"/>
            <w:r w:rsidRPr="0005645C">
              <w:rPr>
                <w:color w:val="595959" w:themeColor="text1" w:themeTint="A6"/>
              </w:rPr>
              <w:t>coûts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sont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comptabilisés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séparément</w:t>
            </w:r>
            <w:proofErr w:type="spellEnd"/>
            <w:r w:rsidRPr="0005645C">
              <w:rPr>
                <w:color w:val="595959" w:themeColor="text1" w:themeTint="A6"/>
              </w:rPr>
              <w:t xml:space="preserve"> et payables par </w:t>
            </w:r>
            <w:proofErr w:type="spellStart"/>
            <w:r w:rsidRPr="0005645C">
              <w:rPr>
                <w:color w:val="595959" w:themeColor="text1" w:themeTint="A6"/>
              </w:rPr>
              <w:t>chaque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locataire</w:t>
            </w:r>
            <w:proofErr w:type="spellEnd"/>
            <w:r w:rsidRPr="0005645C">
              <w:rPr>
                <w:color w:val="595959" w:themeColor="text1" w:themeTint="A6"/>
              </w:rPr>
              <w:t xml:space="preserve">. </w:t>
            </w:r>
          </w:p>
        </w:tc>
      </w:tr>
      <w:tr w:rsidR="00C511D2" w:rsidRPr="00844175" w14:paraId="286B106B" w14:textId="77777777" w:rsidTr="007F51C2">
        <w:trPr>
          <w:trHeight w:val="340"/>
        </w:trPr>
        <w:tc>
          <w:tcPr>
            <w:tcW w:w="5495" w:type="dxa"/>
            <w:vAlign w:val="center"/>
          </w:tcPr>
          <w:p w14:paraId="588627A3" w14:textId="7742F05B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proofErr w:type="spellStart"/>
            <w:r w:rsidRPr="0005645C">
              <w:rPr>
                <w:b/>
                <w:bCs/>
                <w:color w:val="595959" w:themeColor="text1" w:themeTint="A6"/>
              </w:rPr>
              <w:lastRenderedPageBreak/>
              <w:t>Responsabilité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à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l’égard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des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réparations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internes </w:t>
            </w:r>
          </w:p>
        </w:tc>
        <w:tc>
          <w:tcPr>
            <w:tcW w:w="4536" w:type="dxa"/>
          </w:tcPr>
          <w:p w14:paraId="2DAB871C" w14:textId="77777777" w:rsidR="00C511D2" w:rsidRPr="00844175" w:rsidRDefault="00C511D2" w:rsidP="00C511D2">
            <w:pPr>
              <w:pStyle w:val="Pa5"/>
              <w:rPr>
                <w:color w:val="595959" w:themeColor="text1" w:themeTint="A6"/>
              </w:rPr>
            </w:pPr>
            <w:r w:rsidRPr="00844175">
              <w:rPr>
                <w:color w:val="595959" w:themeColor="text1" w:themeTint="A6"/>
              </w:rPr>
              <w:t>Tenant responsible within the private leased area</w:t>
            </w:r>
          </w:p>
        </w:tc>
      </w:tr>
      <w:tr w:rsidR="00C511D2" w:rsidRPr="00844175" w14:paraId="437C74D1" w14:textId="77777777" w:rsidTr="001336BC">
        <w:trPr>
          <w:trHeight w:val="340"/>
        </w:trPr>
        <w:tc>
          <w:tcPr>
            <w:tcW w:w="5495" w:type="dxa"/>
            <w:vAlign w:val="center"/>
          </w:tcPr>
          <w:p w14:paraId="2E61AB25" w14:textId="03E023AE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Responsabilité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à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l’égard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des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réparations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à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effectuer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dans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les parties communes (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réception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,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ascenseur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,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escalier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, etc.) </w:t>
            </w:r>
          </w:p>
        </w:tc>
        <w:tc>
          <w:tcPr>
            <w:tcW w:w="4536" w:type="dxa"/>
            <w:vAlign w:val="center"/>
          </w:tcPr>
          <w:p w14:paraId="73EF6ED9" w14:textId="01B5A8A4" w:rsidR="00C511D2" w:rsidRPr="00844175" w:rsidRDefault="00C511D2" w:rsidP="00C511D2">
            <w:pPr>
              <w:pStyle w:val="Pa5"/>
              <w:rPr>
                <w:color w:val="595959" w:themeColor="text1" w:themeTint="A6"/>
              </w:rPr>
            </w:pPr>
            <w:r w:rsidRPr="0005645C">
              <w:rPr>
                <w:color w:val="595959" w:themeColor="text1" w:themeTint="A6"/>
              </w:rPr>
              <w:t xml:space="preserve">Le </w:t>
            </w:r>
            <w:proofErr w:type="spellStart"/>
            <w:r w:rsidRPr="0005645C">
              <w:rPr>
                <w:color w:val="595959" w:themeColor="text1" w:themeTint="A6"/>
              </w:rPr>
              <w:t>locataire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est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responsable</w:t>
            </w:r>
            <w:proofErr w:type="spellEnd"/>
            <w:r w:rsidRPr="0005645C">
              <w:rPr>
                <w:color w:val="595959" w:themeColor="text1" w:themeTint="A6"/>
              </w:rPr>
              <w:t xml:space="preserve"> de </w:t>
            </w:r>
            <w:proofErr w:type="spellStart"/>
            <w:r w:rsidRPr="0005645C">
              <w:rPr>
                <w:color w:val="595959" w:themeColor="text1" w:themeTint="A6"/>
              </w:rPr>
              <w:t>ces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frais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dans</w:t>
            </w:r>
            <w:proofErr w:type="spellEnd"/>
            <w:r w:rsidRPr="0005645C">
              <w:rPr>
                <w:color w:val="595959" w:themeColor="text1" w:themeTint="A6"/>
              </w:rPr>
              <w:t xml:space="preserve"> la zone </w:t>
            </w:r>
            <w:proofErr w:type="spellStart"/>
            <w:r w:rsidRPr="0005645C">
              <w:rPr>
                <w:color w:val="595959" w:themeColor="text1" w:themeTint="A6"/>
              </w:rPr>
              <w:t>privée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visée</w:t>
            </w:r>
            <w:proofErr w:type="spellEnd"/>
            <w:r w:rsidRPr="0005645C">
              <w:rPr>
                <w:color w:val="595959" w:themeColor="text1" w:themeTint="A6"/>
              </w:rPr>
              <w:t xml:space="preserve"> par le bail. </w:t>
            </w:r>
          </w:p>
        </w:tc>
      </w:tr>
      <w:tr w:rsidR="00C511D2" w:rsidRPr="00844175" w14:paraId="2A67A9F3" w14:textId="77777777" w:rsidTr="001336BC">
        <w:trPr>
          <w:trHeight w:val="340"/>
        </w:trPr>
        <w:tc>
          <w:tcPr>
            <w:tcW w:w="5495" w:type="dxa"/>
            <w:vAlign w:val="center"/>
          </w:tcPr>
          <w:p w14:paraId="189A44AE" w14:textId="5CD52AB3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Responsabilité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à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l’égard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des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réparations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externes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/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structurelles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71497703" w14:textId="4C202585" w:rsidR="00C511D2" w:rsidRPr="00844175" w:rsidRDefault="00C511D2" w:rsidP="00C511D2">
            <w:pPr>
              <w:pStyle w:val="Pa5"/>
              <w:rPr>
                <w:color w:val="595959" w:themeColor="text1" w:themeTint="A6"/>
              </w:rPr>
            </w:pPr>
            <w:r w:rsidRPr="0005645C">
              <w:rPr>
                <w:color w:val="595959" w:themeColor="text1" w:themeTint="A6"/>
              </w:rPr>
              <w:t xml:space="preserve">Le </w:t>
            </w:r>
            <w:proofErr w:type="spellStart"/>
            <w:r w:rsidRPr="0005645C">
              <w:rPr>
                <w:color w:val="595959" w:themeColor="text1" w:themeTint="A6"/>
              </w:rPr>
              <w:t>propriétaire</w:t>
            </w:r>
            <w:proofErr w:type="spellEnd"/>
            <w:r w:rsidRPr="0005645C">
              <w:rPr>
                <w:color w:val="595959" w:themeColor="text1" w:themeTint="A6"/>
              </w:rPr>
              <w:t xml:space="preserve"> en </w:t>
            </w:r>
            <w:proofErr w:type="spellStart"/>
            <w:r w:rsidRPr="0005645C">
              <w:rPr>
                <w:color w:val="595959" w:themeColor="text1" w:themeTint="A6"/>
              </w:rPr>
              <w:t>est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responsable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mais</w:t>
            </w:r>
            <w:proofErr w:type="spellEnd"/>
            <w:r w:rsidRPr="0005645C">
              <w:rPr>
                <w:color w:val="595959" w:themeColor="text1" w:themeTint="A6"/>
              </w:rPr>
              <w:t xml:space="preserve"> les </w:t>
            </w:r>
            <w:proofErr w:type="spellStart"/>
            <w:r w:rsidRPr="0005645C">
              <w:rPr>
                <w:color w:val="595959" w:themeColor="text1" w:themeTint="A6"/>
              </w:rPr>
              <w:t>coûts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sont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refacturés</w:t>
            </w:r>
            <w:proofErr w:type="spellEnd"/>
            <w:r w:rsidRPr="0005645C">
              <w:rPr>
                <w:color w:val="595959" w:themeColor="text1" w:themeTint="A6"/>
              </w:rPr>
              <w:t xml:space="preserve"> au </w:t>
            </w:r>
            <w:proofErr w:type="spellStart"/>
            <w:r w:rsidRPr="0005645C">
              <w:rPr>
                <w:color w:val="595959" w:themeColor="text1" w:themeTint="A6"/>
              </w:rPr>
              <w:t>locataire</w:t>
            </w:r>
            <w:proofErr w:type="spellEnd"/>
            <w:r w:rsidRPr="0005645C">
              <w:rPr>
                <w:color w:val="595959" w:themeColor="text1" w:themeTint="A6"/>
              </w:rPr>
              <w:t xml:space="preserve"> par le </w:t>
            </w:r>
            <w:proofErr w:type="spellStart"/>
            <w:r w:rsidRPr="0005645C">
              <w:rPr>
                <w:color w:val="595959" w:themeColor="text1" w:themeTint="A6"/>
              </w:rPr>
              <w:t>biais</w:t>
            </w:r>
            <w:proofErr w:type="spellEnd"/>
            <w:r w:rsidRPr="0005645C">
              <w:rPr>
                <w:color w:val="595959" w:themeColor="text1" w:themeTint="A6"/>
              </w:rPr>
              <w:t xml:space="preserve"> des </w:t>
            </w:r>
            <w:proofErr w:type="spellStart"/>
            <w:r w:rsidRPr="0005645C">
              <w:rPr>
                <w:color w:val="595959" w:themeColor="text1" w:themeTint="A6"/>
              </w:rPr>
              <w:t>frais</w:t>
            </w:r>
            <w:proofErr w:type="spellEnd"/>
            <w:r w:rsidRPr="0005645C">
              <w:rPr>
                <w:color w:val="595959" w:themeColor="text1" w:themeTint="A6"/>
              </w:rPr>
              <w:t xml:space="preserve"> de service. </w:t>
            </w:r>
          </w:p>
        </w:tc>
      </w:tr>
      <w:tr w:rsidR="00C511D2" w:rsidRPr="00844175" w14:paraId="052B7933" w14:textId="77777777" w:rsidTr="001336BC">
        <w:trPr>
          <w:trHeight w:val="340"/>
        </w:trPr>
        <w:tc>
          <w:tcPr>
            <w:tcW w:w="5495" w:type="dxa"/>
            <w:vAlign w:val="center"/>
          </w:tcPr>
          <w:p w14:paraId="65EF8C7E" w14:textId="79F4B8FA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Responsabilité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à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l’égard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l’assurance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habitation </w:t>
            </w:r>
          </w:p>
        </w:tc>
        <w:tc>
          <w:tcPr>
            <w:tcW w:w="4536" w:type="dxa"/>
            <w:vAlign w:val="center"/>
          </w:tcPr>
          <w:p w14:paraId="31EDA6F9" w14:textId="6F6A6301" w:rsidR="00C511D2" w:rsidRPr="00844175" w:rsidRDefault="00C511D2" w:rsidP="00C511D2">
            <w:pPr>
              <w:pStyle w:val="Pa5"/>
              <w:rPr>
                <w:color w:val="595959" w:themeColor="text1" w:themeTint="A6"/>
              </w:rPr>
            </w:pPr>
            <w:r w:rsidRPr="0005645C">
              <w:rPr>
                <w:color w:val="595959" w:themeColor="text1" w:themeTint="A6"/>
              </w:rPr>
              <w:t xml:space="preserve">Le </w:t>
            </w:r>
            <w:proofErr w:type="spellStart"/>
            <w:r w:rsidRPr="0005645C">
              <w:rPr>
                <w:color w:val="595959" w:themeColor="text1" w:themeTint="A6"/>
              </w:rPr>
              <w:t>propriétaire</w:t>
            </w:r>
            <w:proofErr w:type="spellEnd"/>
            <w:r w:rsidRPr="0005645C">
              <w:rPr>
                <w:color w:val="595959" w:themeColor="text1" w:themeTint="A6"/>
              </w:rPr>
              <w:t xml:space="preserve"> en </w:t>
            </w:r>
            <w:proofErr w:type="spellStart"/>
            <w:r w:rsidRPr="0005645C">
              <w:rPr>
                <w:color w:val="595959" w:themeColor="text1" w:themeTint="A6"/>
              </w:rPr>
              <w:t>est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responsable</w:t>
            </w:r>
            <w:proofErr w:type="spellEnd"/>
            <w:r w:rsidRPr="0005645C">
              <w:rPr>
                <w:color w:val="595959" w:themeColor="text1" w:themeTint="A6"/>
              </w:rPr>
              <w:t xml:space="preserve">. </w:t>
            </w:r>
          </w:p>
        </w:tc>
      </w:tr>
      <w:tr w:rsidR="00C511D2" w:rsidRPr="00844175" w14:paraId="4439B798" w14:textId="77777777" w:rsidTr="001336BC">
        <w:trPr>
          <w:trHeight w:val="340"/>
        </w:trPr>
        <w:tc>
          <w:tcPr>
            <w:tcW w:w="5495" w:type="dxa"/>
            <w:vAlign w:val="center"/>
          </w:tcPr>
          <w:p w14:paraId="6FD54BBA" w14:textId="2B439662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Responsabilité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à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l’égard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du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droit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 timbre </w:t>
            </w:r>
          </w:p>
        </w:tc>
        <w:tc>
          <w:tcPr>
            <w:tcW w:w="4536" w:type="dxa"/>
            <w:vAlign w:val="center"/>
          </w:tcPr>
          <w:p w14:paraId="64C7133B" w14:textId="405AECFB" w:rsidR="00C511D2" w:rsidRPr="00844175" w:rsidRDefault="00C511D2" w:rsidP="00C511D2">
            <w:pPr>
              <w:pStyle w:val="Pa5"/>
              <w:rPr>
                <w:color w:val="595959" w:themeColor="text1" w:themeTint="A6"/>
              </w:rPr>
            </w:pPr>
            <w:r w:rsidRPr="0005645C">
              <w:rPr>
                <w:color w:val="595959" w:themeColor="text1" w:themeTint="A6"/>
              </w:rPr>
              <w:t xml:space="preserve">Le </w:t>
            </w:r>
            <w:proofErr w:type="spellStart"/>
            <w:r w:rsidRPr="0005645C">
              <w:rPr>
                <w:color w:val="595959" w:themeColor="text1" w:themeTint="A6"/>
              </w:rPr>
              <w:t>propriétaire</w:t>
            </w:r>
            <w:proofErr w:type="spellEnd"/>
            <w:r w:rsidRPr="0005645C">
              <w:rPr>
                <w:color w:val="595959" w:themeColor="text1" w:themeTint="A6"/>
              </w:rPr>
              <w:t xml:space="preserve"> en </w:t>
            </w:r>
            <w:proofErr w:type="spellStart"/>
            <w:r w:rsidRPr="0005645C">
              <w:rPr>
                <w:color w:val="595959" w:themeColor="text1" w:themeTint="A6"/>
              </w:rPr>
              <w:t>est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responsable</w:t>
            </w:r>
            <w:proofErr w:type="spellEnd"/>
            <w:r w:rsidRPr="0005645C">
              <w:rPr>
                <w:color w:val="595959" w:themeColor="text1" w:themeTint="A6"/>
              </w:rPr>
              <w:t xml:space="preserve">, les </w:t>
            </w:r>
            <w:proofErr w:type="spellStart"/>
            <w:r w:rsidRPr="0005645C">
              <w:rPr>
                <w:color w:val="595959" w:themeColor="text1" w:themeTint="A6"/>
              </w:rPr>
              <w:t>coûts</w:t>
            </w:r>
            <w:proofErr w:type="spellEnd"/>
            <w:r w:rsidRPr="0005645C">
              <w:rPr>
                <w:color w:val="595959" w:themeColor="text1" w:themeTint="A6"/>
              </w:rPr>
              <w:t xml:space="preserve"> ne </w:t>
            </w:r>
            <w:proofErr w:type="spellStart"/>
            <w:r w:rsidRPr="0005645C">
              <w:rPr>
                <w:color w:val="595959" w:themeColor="text1" w:themeTint="A6"/>
              </w:rPr>
              <w:t>sont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refacturés</w:t>
            </w:r>
            <w:proofErr w:type="spellEnd"/>
            <w:r w:rsidRPr="0005645C">
              <w:rPr>
                <w:color w:val="595959" w:themeColor="text1" w:themeTint="A6"/>
              </w:rPr>
              <w:t xml:space="preserve"> au </w:t>
            </w:r>
            <w:proofErr w:type="spellStart"/>
            <w:r w:rsidRPr="0005645C">
              <w:rPr>
                <w:color w:val="595959" w:themeColor="text1" w:themeTint="A6"/>
              </w:rPr>
              <w:t>locataire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que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si</w:t>
            </w:r>
            <w:proofErr w:type="spellEnd"/>
            <w:r w:rsidRPr="0005645C">
              <w:rPr>
                <w:color w:val="595959" w:themeColor="text1" w:themeTint="A6"/>
              </w:rPr>
              <w:t xml:space="preserve"> les primes </w:t>
            </w:r>
            <w:proofErr w:type="spellStart"/>
            <w:r w:rsidRPr="0005645C">
              <w:rPr>
                <w:color w:val="595959" w:themeColor="text1" w:themeTint="A6"/>
              </w:rPr>
              <w:t>ont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augmenté</w:t>
            </w:r>
            <w:proofErr w:type="spellEnd"/>
            <w:r w:rsidRPr="0005645C">
              <w:rPr>
                <w:color w:val="595959" w:themeColor="text1" w:themeTint="A6"/>
              </w:rPr>
              <w:t xml:space="preserve"> du fait </w:t>
            </w:r>
            <w:proofErr w:type="spellStart"/>
            <w:r w:rsidRPr="0005645C">
              <w:rPr>
                <w:color w:val="595959" w:themeColor="text1" w:themeTint="A6"/>
              </w:rPr>
              <w:t>d’une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activité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particulière</w:t>
            </w:r>
            <w:proofErr w:type="spellEnd"/>
            <w:r w:rsidRPr="0005645C">
              <w:rPr>
                <w:color w:val="595959" w:themeColor="text1" w:themeTint="A6"/>
              </w:rPr>
              <w:t xml:space="preserve"> du </w:t>
            </w:r>
            <w:proofErr w:type="spellStart"/>
            <w:r w:rsidRPr="0005645C">
              <w:rPr>
                <w:color w:val="595959" w:themeColor="text1" w:themeTint="A6"/>
              </w:rPr>
              <w:t>locataire</w:t>
            </w:r>
            <w:proofErr w:type="spellEnd"/>
            <w:r w:rsidRPr="0005645C">
              <w:rPr>
                <w:color w:val="595959" w:themeColor="text1" w:themeTint="A6"/>
              </w:rPr>
              <w:t xml:space="preserve">. </w:t>
            </w:r>
          </w:p>
        </w:tc>
      </w:tr>
      <w:tr w:rsidR="00C511D2" w:rsidRPr="00844175" w14:paraId="5690D9CC" w14:textId="77777777" w:rsidTr="001336BC">
        <w:trPr>
          <w:trHeight w:val="340"/>
        </w:trPr>
        <w:tc>
          <w:tcPr>
            <w:tcW w:w="5495" w:type="dxa"/>
            <w:vAlign w:val="center"/>
          </w:tcPr>
          <w:p w14:paraId="7545110A" w14:textId="4E079C7A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Responsabilité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à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l’égard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des taxes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immobilières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locales </w:t>
            </w:r>
          </w:p>
        </w:tc>
        <w:tc>
          <w:tcPr>
            <w:tcW w:w="4536" w:type="dxa"/>
            <w:vAlign w:val="center"/>
          </w:tcPr>
          <w:p w14:paraId="75ABB021" w14:textId="326D843A" w:rsidR="00C511D2" w:rsidRPr="00844175" w:rsidRDefault="00C511D2" w:rsidP="00C511D2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05645C">
              <w:rPr>
                <w:color w:val="595959" w:themeColor="text1" w:themeTint="A6"/>
              </w:rPr>
              <w:t>Responsabilité</w:t>
            </w:r>
            <w:proofErr w:type="spellEnd"/>
            <w:r w:rsidRPr="0005645C">
              <w:rPr>
                <w:color w:val="595959" w:themeColor="text1" w:themeTint="A6"/>
              </w:rPr>
              <w:t xml:space="preserve"> du </w:t>
            </w:r>
            <w:proofErr w:type="spellStart"/>
            <w:r w:rsidRPr="0005645C">
              <w:rPr>
                <w:color w:val="595959" w:themeColor="text1" w:themeTint="A6"/>
              </w:rPr>
              <w:t>locataire</w:t>
            </w:r>
            <w:proofErr w:type="spellEnd"/>
            <w:r w:rsidRPr="0005645C">
              <w:rPr>
                <w:color w:val="595959" w:themeColor="text1" w:themeTint="A6"/>
              </w:rPr>
              <w:t xml:space="preserve">. </w:t>
            </w:r>
          </w:p>
        </w:tc>
      </w:tr>
      <w:tr w:rsidR="00C511D2" w:rsidRPr="00844175" w14:paraId="6EFE41BC" w14:textId="77777777" w:rsidTr="001336BC">
        <w:trPr>
          <w:trHeight w:val="340"/>
        </w:trPr>
        <w:tc>
          <w:tcPr>
            <w:tcW w:w="5495" w:type="dxa"/>
            <w:vAlign w:val="center"/>
          </w:tcPr>
          <w:p w14:paraId="0E005209" w14:textId="5D5F8C5D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Responsabilité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à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l’égard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 la TVA / TPS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redevable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sur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le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loyer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les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frais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 service </w:t>
            </w:r>
          </w:p>
        </w:tc>
        <w:tc>
          <w:tcPr>
            <w:tcW w:w="4536" w:type="dxa"/>
            <w:vAlign w:val="center"/>
          </w:tcPr>
          <w:p w14:paraId="3D57DE77" w14:textId="13233FFE" w:rsidR="00C511D2" w:rsidRPr="00844175" w:rsidRDefault="00C511D2" w:rsidP="00C511D2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05645C">
              <w:rPr>
                <w:color w:val="595959" w:themeColor="text1" w:themeTint="A6"/>
              </w:rPr>
              <w:t>Responsabilité</w:t>
            </w:r>
            <w:proofErr w:type="spellEnd"/>
            <w:r w:rsidRPr="0005645C">
              <w:rPr>
                <w:color w:val="595959" w:themeColor="text1" w:themeTint="A6"/>
              </w:rPr>
              <w:t xml:space="preserve"> du </w:t>
            </w:r>
            <w:proofErr w:type="spellStart"/>
            <w:r w:rsidRPr="0005645C">
              <w:rPr>
                <w:color w:val="595959" w:themeColor="text1" w:themeTint="A6"/>
              </w:rPr>
              <w:t>propriétaire</w:t>
            </w:r>
            <w:proofErr w:type="spellEnd"/>
            <w:r w:rsidRPr="0005645C">
              <w:rPr>
                <w:color w:val="595959" w:themeColor="text1" w:themeTint="A6"/>
              </w:rPr>
              <w:t xml:space="preserve">. </w:t>
            </w:r>
          </w:p>
        </w:tc>
      </w:tr>
      <w:tr w:rsidR="00C511D2" w:rsidRPr="00844175" w14:paraId="3F58F358" w14:textId="77777777" w:rsidTr="001336BC">
        <w:trPr>
          <w:trHeight w:val="340"/>
        </w:trPr>
        <w:tc>
          <w:tcPr>
            <w:tcW w:w="5495" w:type="dxa"/>
            <w:vAlign w:val="center"/>
          </w:tcPr>
          <w:p w14:paraId="2B2CC694" w14:textId="3D784CE4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Droits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d’affectation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et de sous-location du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locataire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68820A3" w14:textId="130C61CE" w:rsidR="00C511D2" w:rsidRPr="00844175" w:rsidRDefault="00C511D2" w:rsidP="00C511D2">
            <w:pPr>
              <w:pStyle w:val="Pa5"/>
              <w:rPr>
                <w:i/>
                <w:color w:val="595959" w:themeColor="text1" w:themeTint="A6"/>
              </w:rPr>
            </w:pPr>
            <w:proofErr w:type="spellStart"/>
            <w:r w:rsidRPr="0005645C">
              <w:rPr>
                <w:color w:val="595959" w:themeColor="text1" w:themeTint="A6"/>
              </w:rPr>
              <w:t>Responsabilité</w:t>
            </w:r>
            <w:proofErr w:type="spellEnd"/>
            <w:r w:rsidRPr="0005645C">
              <w:rPr>
                <w:color w:val="595959" w:themeColor="text1" w:themeTint="A6"/>
              </w:rPr>
              <w:t xml:space="preserve"> du </w:t>
            </w:r>
            <w:proofErr w:type="spellStart"/>
            <w:r w:rsidRPr="0005645C">
              <w:rPr>
                <w:color w:val="595959" w:themeColor="text1" w:themeTint="A6"/>
              </w:rPr>
              <w:t>locataire</w:t>
            </w:r>
            <w:proofErr w:type="spellEnd"/>
            <w:r w:rsidRPr="0005645C">
              <w:rPr>
                <w:color w:val="595959" w:themeColor="text1" w:themeTint="A6"/>
              </w:rPr>
              <w:t xml:space="preserve"> (5 % à la </w:t>
            </w:r>
            <w:proofErr w:type="spellStart"/>
            <w:r w:rsidRPr="0005645C">
              <w:rPr>
                <w:color w:val="595959" w:themeColor="text1" w:themeTint="A6"/>
              </w:rPr>
              <w:t>fois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sur</w:t>
            </w:r>
            <w:proofErr w:type="spellEnd"/>
            <w:r w:rsidRPr="0005645C">
              <w:rPr>
                <w:color w:val="595959" w:themeColor="text1" w:themeTint="A6"/>
              </w:rPr>
              <w:t xml:space="preserve"> le </w:t>
            </w:r>
            <w:proofErr w:type="spellStart"/>
            <w:r w:rsidRPr="0005645C">
              <w:rPr>
                <w:color w:val="595959" w:themeColor="text1" w:themeTint="A6"/>
              </w:rPr>
              <w:t>loyer</w:t>
            </w:r>
            <w:proofErr w:type="spellEnd"/>
            <w:r w:rsidRPr="0005645C">
              <w:rPr>
                <w:color w:val="595959" w:themeColor="text1" w:themeTint="A6"/>
              </w:rPr>
              <w:t xml:space="preserve"> et les </w:t>
            </w:r>
            <w:proofErr w:type="spellStart"/>
            <w:r w:rsidRPr="0005645C">
              <w:rPr>
                <w:color w:val="595959" w:themeColor="text1" w:themeTint="A6"/>
              </w:rPr>
              <w:t>frais</w:t>
            </w:r>
            <w:proofErr w:type="spellEnd"/>
            <w:r w:rsidRPr="0005645C">
              <w:rPr>
                <w:color w:val="595959" w:themeColor="text1" w:themeTint="A6"/>
              </w:rPr>
              <w:t xml:space="preserve"> de service). N.B</w:t>
            </w:r>
            <w:proofErr w:type="gramStart"/>
            <w:r w:rsidRPr="0005645C">
              <w:rPr>
                <w:color w:val="595959" w:themeColor="text1" w:themeTint="A6"/>
              </w:rPr>
              <w:t>. : </w:t>
            </w:r>
            <w:proofErr w:type="gramEnd"/>
            <w:r w:rsidRPr="0005645C">
              <w:rPr>
                <w:color w:val="595959" w:themeColor="text1" w:themeTint="A6"/>
              </w:rPr>
              <w:t xml:space="preserve">La </w:t>
            </w:r>
            <w:proofErr w:type="spellStart"/>
            <w:r w:rsidRPr="0005645C">
              <w:rPr>
                <w:color w:val="595959" w:themeColor="text1" w:themeTint="A6"/>
              </w:rPr>
              <w:t>légitimité</w:t>
            </w:r>
            <w:proofErr w:type="spellEnd"/>
            <w:r w:rsidRPr="0005645C">
              <w:rPr>
                <w:color w:val="595959" w:themeColor="text1" w:themeTint="A6"/>
              </w:rPr>
              <w:t xml:space="preserve"> de la TVA </w:t>
            </w:r>
            <w:proofErr w:type="spellStart"/>
            <w:r w:rsidRPr="0005645C">
              <w:rPr>
                <w:color w:val="595959" w:themeColor="text1" w:themeTint="A6"/>
              </w:rPr>
              <w:t>sur</w:t>
            </w:r>
            <w:proofErr w:type="spellEnd"/>
            <w:r w:rsidRPr="0005645C">
              <w:rPr>
                <w:color w:val="595959" w:themeColor="text1" w:themeTint="A6"/>
              </w:rPr>
              <w:t xml:space="preserve"> les </w:t>
            </w:r>
            <w:proofErr w:type="spellStart"/>
            <w:r w:rsidRPr="0005645C">
              <w:rPr>
                <w:color w:val="595959" w:themeColor="text1" w:themeTint="A6"/>
              </w:rPr>
              <w:t>loyers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est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incertaine</w:t>
            </w:r>
            <w:proofErr w:type="spellEnd"/>
            <w:r w:rsidRPr="0005645C">
              <w:rPr>
                <w:color w:val="595959" w:themeColor="text1" w:themeTint="A6"/>
              </w:rPr>
              <w:t xml:space="preserve"> et sous </w:t>
            </w:r>
            <w:proofErr w:type="spellStart"/>
            <w:r w:rsidRPr="0005645C">
              <w:rPr>
                <w:color w:val="595959" w:themeColor="text1" w:themeTint="A6"/>
              </w:rPr>
              <w:t>réserve</w:t>
            </w:r>
            <w:proofErr w:type="spellEnd"/>
            <w:r w:rsidRPr="0005645C">
              <w:rPr>
                <w:color w:val="595959" w:themeColor="text1" w:themeTint="A6"/>
              </w:rPr>
              <w:t xml:space="preserve"> de </w:t>
            </w:r>
            <w:proofErr w:type="spellStart"/>
            <w:r w:rsidRPr="0005645C">
              <w:rPr>
                <w:color w:val="595959" w:themeColor="text1" w:themeTint="A6"/>
              </w:rPr>
              <w:t>décision</w:t>
            </w:r>
            <w:proofErr w:type="spellEnd"/>
            <w:r w:rsidRPr="0005645C">
              <w:rPr>
                <w:color w:val="595959" w:themeColor="text1" w:themeTint="A6"/>
              </w:rPr>
              <w:t xml:space="preserve"> finale. Par </w:t>
            </w:r>
            <w:proofErr w:type="spellStart"/>
            <w:r w:rsidRPr="0005645C">
              <w:rPr>
                <w:color w:val="595959" w:themeColor="text1" w:themeTint="A6"/>
              </w:rPr>
              <w:t>conséquent</w:t>
            </w:r>
            <w:proofErr w:type="spellEnd"/>
            <w:r w:rsidRPr="0005645C">
              <w:rPr>
                <w:color w:val="595959" w:themeColor="text1" w:themeTint="A6"/>
              </w:rPr>
              <w:t xml:space="preserve">, à </w:t>
            </w:r>
            <w:proofErr w:type="spellStart"/>
            <w:r w:rsidRPr="0005645C">
              <w:rPr>
                <w:color w:val="595959" w:themeColor="text1" w:themeTint="A6"/>
              </w:rPr>
              <w:t>l’heure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actuelle</w:t>
            </w:r>
            <w:proofErr w:type="spellEnd"/>
            <w:r w:rsidRPr="0005645C">
              <w:rPr>
                <w:color w:val="595959" w:themeColor="text1" w:themeTint="A6"/>
              </w:rPr>
              <w:t xml:space="preserve">, </w:t>
            </w:r>
            <w:proofErr w:type="spellStart"/>
            <w:r w:rsidRPr="0005645C">
              <w:rPr>
                <w:color w:val="595959" w:themeColor="text1" w:themeTint="A6"/>
              </w:rPr>
              <w:t>certains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propriétaires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facturent</w:t>
            </w:r>
            <w:proofErr w:type="spellEnd"/>
            <w:r w:rsidRPr="0005645C">
              <w:rPr>
                <w:color w:val="595959" w:themeColor="text1" w:themeTint="A6"/>
              </w:rPr>
              <w:t xml:space="preserve"> la TVA en sus du </w:t>
            </w:r>
            <w:proofErr w:type="spellStart"/>
            <w:r w:rsidRPr="0005645C">
              <w:rPr>
                <w:color w:val="595959" w:themeColor="text1" w:themeTint="A6"/>
              </w:rPr>
              <w:t>loyer</w:t>
            </w:r>
            <w:proofErr w:type="spellEnd"/>
            <w:r w:rsidRPr="0005645C">
              <w:rPr>
                <w:color w:val="595959" w:themeColor="text1" w:themeTint="A6"/>
              </w:rPr>
              <w:t xml:space="preserve">, </w:t>
            </w:r>
            <w:proofErr w:type="spellStart"/>
            <w:proofErr w:type="gramStart"/>
            <w:r w:rsidRPr="0005645C">
              <w:rPr>
                <w:color w:val="595959" w:themeColor="text1" w:themeTint="A6"/>
              </w:rPr>
              <w:t>tandis</w:t>
            </w:r>
            <w:proofErr w:type="spellEnd"/>
            <w:proofErr w:type="gram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que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d’autres</w:t>
            </w:r>
            <w:proofErr w:type="spellEnd"/>
            <w:r w:rsidRPr="0005645C">
              <w:rPr>
                <w:color w:val="595959" w:themeColor="text1" w:themeTint="A6"/>
              </w:rPr>
              <w:t xml:space="preserve"> ne le font pas. </w:t>
            </w:r>
          </w:p>
        </w:tc>
      </w:tr>
      <w:tr w:rsidR="00C511D2" w:rsidRPr="00844175" w14:paraId="3CDA1021" w14:textId="77777777" w:rsidTr="001336BC">
        <w:trPr>
          <w:trHeight w:val="340"/>
        </w:trPr>
        <w:tc>
          <w:tcPr>
            <w:tcW w:w="5495" w:type="dxa"/>
            <w:vAlign w:val="center"/>
          </w:tcPr>
          <w:p w14:paraId="527C408C" w14:textId="3C1800AA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Droits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du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locataire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en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cas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résiliation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anticipée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3C522F0" w14:textId="68D14307" w:rsidR="00C511D2" w:rsidRPr="00844175" w:rsidRDefault="00C511D2" w:rsidP="00C511D2">
            <w:pPr>
              <w:pStyle w:val="Pa5"/>
              <w:rPr>
                <w:color w:val="595959" w:themeColor="text1" w:themeTint="A6"/>
              </w:rPr>
            </w:pPr>
            <w:r w:rsidRPr="0005645C">
              <w:rPr>
                <w:color w:val="595959" w:themeColor="text1" w:themeTint="A6"/>
              </w:rPr>
              <w:t xml:space="preserve">La sous-location et </w:t>
            </w:r>
            <w:proofErr w:type="spellStart"/>
            <w:r w:rsidRPr="0005645C">
              <w:rPr>
                <w:color w:val="595959" w:themeColor="text1" w:themeTint="A6"/>
              </w:rPr>
              <w:t>l’affectation</w:t>
            </w:r>
            <w:proofErr w:type="spellEnd"/>
            <w:r w:rsidRPr="0005645C">
              <w:rPr>
                <w:color w:val="595959" w:themeColor="text1" w:themeTint="A6"/>
              </w:rPr>
              <w:t xml:space="preserve"> à des </w:t>
            </w:r>
            <w:proofErr w:type="spellStart"/>
            <w:r w:rsidRPr="0005645C">
              <w:rPr>
                <w:color w:val="595959" w:themeColor="text1" w:themeTint="A6"/>
              </w:rPr>
              <w:t>compagnies</w:t>
            </w:r>
            <w:proofErr w:type="spellEnd"/>
            <w:r w:rsidRPr="0005645C">
              <w:rPr>
                <w:color w:val="595959" w:themeColor="text1" w:themeTint="A6"/>
              </w:rPr>
              <w:t xml:space="preserve"> du </w:t>
            </w:r>
            <w:proofErr w:type="spellStart"/>
            <w:r w:rsidRPr="0005645C">
              <w:rPr>
                <w:color w:val="595959" w:themeColor="text1" w:themeTint="A6"/>
              </w:rPr>
              <w:t>groupe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sont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possibles</w:t>
            </w:r>
            <w:proofErr w:type="spellEnd"/>
            <w:r w:rsidRPr="0005645C">
              <w:rPr>
                <w:color w:val="595959" w:themeColor="text1" w:themeTint="A6"/>
              </w:rPr>
              <w:t xml:space="preserve"> sous </w:t>
            </w:r>
            <w:proofErr w:type="spellStart"/>
            <w:r w:rsidRPr="0005645C">
              <w:rPr>
                <w:color w:val="595959" w:themeColor="text1" w:themeTint="A6"/>
              </w:rPr>
              <w:t>réserve</w:t>
            </w:r>
            <w:proofErr w:type="spellEnd"/>
            <w:r w:rsidRPr="0005645C">
              <w:rPr>
                <w:color w:val="595959" w:themeColor="text1" w:themeTint="A6"/>
              </w:rPr>
              <w:t xml:space="preserve"> de </w:t>
            </w:r>
            <w:proofErr w:type="spellStart"/>
            <w:r w:rsidRPr="0005645C">
              <w:rPr>
                <w:color w:val="595959" w:themeColor="text1" w:themeTint="A6"/>
              </w:rPr>
              <w:t>l’accord</w:t>
            </w:r>
            <w:proofErr w:type="spellEnd"/>
            <w:r w:rsidRPr="0005645C">
              <w:rPr>
                <w:color w:val="595959" w:themeColor="text1" w:themeTint="A6"/>
              </w:rPr>
              <w:t xml:space="preserve"> du </w:t>
            </w:r>
            <w:proofErr w:type="spellStart"/>
            <w:r w:rsidRPr="0005645C">
              <w:rPr>
                <w:color w:val="595959" w:themeColor="text1" w:themeTint="A6"/>
              </w:rPr>
              <w:t>propriétaire</w:t>
            </w:r>
            <w:proofErr w:type="spellEnd"/>
            <w:r w:rsidRPr="0005645C">
              <w:rPr>
                <w:color w:val="595959" w:themeColor="text1" w:themeTint="A6"/>
              </w:rPr>
              <w:t xml:space="preserve">. La sous-location et </w:t>
            </w:r>
            <w:proofErr w:type="spellStart"/>
            <w:r w:rsidRPr="0005645C">
              <w:rPr>
                <w:color w:val="595959" w:themeColor="text1" w:themeTint="A6"/>
              </w:rPr>
              <w:t>l’affectation</w:t>
            </w:r>
            <w:proofErr w:type="spellEnd"/>
            <w:r w:rsidRPr="0005645C">
              <w:rPr>
                <w:color w:val="595959" w:themeColor="text1" w:themeTint="A6"/>
              </w:rPr>
              <w:t xml:space="preserve"> à des tiers </w:t>
            </w:r>
            <w:proofErr w:type="spellStart"/>
            <w:r w:rsidRPr="0005645C">
              <w:rPr>
                <w:color w:val="595959" w:themeColor="text1" w:themeTint="A6"/>
              </w:rPr>
              <w:t>devront</w:t>
            </w:r>
            <w:proofErr w:type="spellEnd"/>
            <w:r w:rsidRPr="0005645C">
              <w:rPr>
                <w:color w:val="595959" w:themeColor="text1" w:themeTint="A6"/>
              </w:rPr>
              <w:t xml:space="preserve"> faire </w:t>
            </w:r>
            <w:proofErr w:type="spellStart"/>
            <w:r w:rsidRPr="0005645C">
              <w:rPr>
                <w:color w:val="595959" w:themeColor="text1" w:themeTint="A6"/>
              </w:rPr>
              <w:t>l’objet</w:t>
            </w:r>
            <w:proofErr w:type="spellEnd"/>
            <w:r w:rsidRPr="0005645C">
              <w:rPr>
                <w:color w:val="595959" w:themeColor="text1" w:themeTint="A6"/>
              </w:rPr>
              <w:t xml:space="preserve"> de </w:t>
            </w:r>
            <w:proofErr w:type="spellStart"/>
            <w:r w:rsidRPr="0005645C">
              <w:rPr>
                <w:color w:val="595959" w:themeColor="text1" w:themeTint="A6"/>
              </w:rPr>
              <w:t>négociations</w:t>
            </w:r>
            <w:proofErr w:type="spellEnd"/>
            <w:r w:rsidRPr="0005645C">
              <w:rPr>
                <w:color w:val="595959" w:themeColor="text1" w:themeTint="A6"/>
              </w:rPr>
              <w:t xml:space="preserve">, </w:t>
            </w:r>
            <w:proofErr w:type="spellStart"/>
            <w:r w:rsidRPr="0005645C">
              <w:rPr>
                <w:color w:val="595959" w:themeColor="text1" w:themeTint="A6"/>
              </w:rPr>
              <w:t>mais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d’une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manière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générale</w:t>
            </w:r>
            <w:proofErr w:type="spellEnd"/>
            <w:r w:rsidRPr="0005645C">
              <w:rPr>
                <w:color w:val="595959" w:themeColor="text1" w:themeTint="A6"/>
              </w:rPr>
              <w:t xml:space="preserve">, </w:t>
            </w:r>
            <w:proofErr w:type="spellStart"/>
            <w:r w:rsidRPr="0005645C">
              <w:rPr>
                <w:color w:val="595959" w:themeColor="text1" w:themeTint="A6"/>
              </w:rPr>
              <w:t>elles</w:t>
            </w:r>
            <w:proofErr w:type="spellEnd"/>
            <w:r w:rsidRPr="0005645C">
              <w:rPr>
                <w:color w:val="595959" w:themeColor="text1" w:themeTint="A6"/>
              </w:rPr>
              <w:t xml:space="preserve"> ne </w:t>
            </w:r>
            <w:proofErr w:type="spellStart"/>
            <w:r w:rsidRPr="0005645C">
              <w:rPr>
                <w:color w:val="595959" w:themeColor="text1" w:themeTint="A6"/>
              </w:rPr>
              <w:t>sont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autorisées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que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lorsqu’une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preuve</w:t>
            </w:r>
            <w:proofErr w:type="spellEnd"/>
            <w:r w:rsidRPr="0005645C">
              <w:rPr>
                <w:color w:val="595959" w:themeColor="text1" w:themeTint="A6"/>
              </w:rPr>
              <w:t xml:space="preserve"> de bonne </w:t>
            </w:r>
            <w:proofErr w:type="spellStart"/>
            <w:r w:rsidRPr="0005645C">
              <w:rPr>
                <w:color w:val="595959" w:themeColor="text1" w:themeTint="A6"/>
              </w:rPr>
              <w:t>réputation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peut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être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fournie</w:t>
            </w:r>
            <w:proofErr w:type="spellEnd"/>
            <w:r w:rsidRPr="0005645C">
              <w:rPr>
                <w:color w:val="595959" w:themeColor="text1" w:themeTint="A6"/>
              </w:rPr>
              <w:t xml:space="preserve">. </w:t>
            </w:r>
          </w:p>
        </w:tc>
      </w:tr>
      <w:tr w:rsidR="00C511D2" w:rsidRPr="00844175" w14:paraId="22CE11F2" w14:textId="77777777" w:rsidTr="001336BC">
        <w:trPr>
          <w:trHeight w:val="340"/>
        </w:trPr>
        <w:tc>
          <w:tcPr>
            <w:tcW w:w="5495" w:type="dxa"/>
            <w:vAlign w:val="center"/>
          </w:tcPr>
          <w:p w14:paraId="14A98BA5" w14:textId="1130EFA0" w:rsidR="00C511D2" w:rsidRPr="00844175" w:rsidRDefault="00C511D2" w:rsidP="00C511D2">
            <w:pPr>
              <w:pStyle w:val="Pa5"/>
              <w:rPr>
                <w:b/>
                <w:color w:val="595959" w:themeColor="text1" w:themeTint="A6"/>
              </w:rPr>
            </w:pP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Responsabilités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du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locataire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à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l’égard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de la remise en service du </w:t>
            </w:r>
            <w:proofErr w:type="spellStart"/>
            <w:r w:rsidRPr="0005645C">
              <w:rPr>
                <w:b/>
                <w:bCs/>
                <w:color w:val="595959" w:themeColor="text1" w:themeTint="A6"/>
              </w:rPr>
              <w:t>bâtiment</w:t>
            </w:r>
            <w:proofErr w:type="spellEnd"/>
            <w:r w:rsidRPr="0005645C">
              <w:rPr>
                <w:b/>
                <w:bCs/>
                <w:color w:val="595959" w:themeColor="text1" w:themeTint="A6"/>
              </w:rPr>
              <w:t xml:space="preserve"> à la fin du bail </w:t>
            </w:r>
          </w:p>
        </w:tc>
        <w:tc>
          <w:tcPr>
            <w:tcW w:w="4536" w:type="dxa"/>
            <w:vAlign w:val="center"/>
          </w:tcPr>
          <w:p w14:paraId="476CA623" w14:textId="77777777" w:rsidR="00C511D2" w:rsidRPr="0005645C" w:rsidRDefault="00C511D2" w:rsidP="00C511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05645C">
              <w:rPr>
                <w:rFonts w:ascii="Arial" w:hAnsi="Arial" w:cs="Arial"/>
                <w:color w:val="595959" w:themeColor="text1" w:themeTint="A6"/>
              </w:rPr>
              <w:t xml:space="preserve">En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vertu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d’une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clause de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résiliation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à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l’issue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négociations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avec le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propriétaire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(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peut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faire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l’objet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d’une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lastRenderedPageBreak/>
              <w:t>indemnisation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financière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être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fonction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de la </w:t>
            </w:r>
            <w:proofErr w:type="spellStart"/>
            <w:r w:rsidRPr="0005645C">
              <w:rPr>
                <w:rFonts w:ascii="Arial" w:hAnsi="Arial" w:cs="Arial"/>
                <w:color w:val="595959" w:themeColor="text1" w:themeTint="A6"/>
              </w:rPr>
              <w:t>capacité</w:t>
            </w:r>
            <w:proofErr w:type="spellEnd"/>
            <w:r w:rsidRPr="0005645C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  <w:p w14:paraId="475F019F" w14:textId="2E2E5552" w:rsidR="00C511D2" w:rsidRPr="00844175" w:rsidRDefault="00C511D2" w:rsidP="00C511D2">
            <w:pPr>
              <w:pStyle w:val="Pa5"/>
              <w:rPr>
                <w:color w:val="595959" w:themeColor="text1" w:themeTint="A6"/>
              </w:rPr>
            </w:pPr>
            <w:proofErr w:type="gramStart"/>
            <w:r w:rsidRPr="0005645C">
              <w:rPr>
                <w:color w:val="595959" w:themeColor="text1" w:themeTint="A6"/>
              </w:rPr>
              <w:t>à</w:t>
            </w:r>
            <w:proofErr w:type="gram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trouver</w:t>
            </w:r>
            <w:proofErr w:type="spellEnd"/>
            <w:r w:rsidRPr="0005645C">
              <w:rPr>
                <w:color w:val="595959" w:themeColor="text1" w:themeTint="A6"/>
              </w:rPr>
              <w:t xml:space="preserve"> un </w:t>
            </w:r>
            <w:proofErr w:type="spellStart"/>
            <w:r w:rsidRPr="0005645C">
              <w:rPr>
                <w:color w:val="595959" w:themeColor="text1" w:themeTint="A6"/>
              </w:rPr>
              <w:t>locataire</w:t>
            </w:r>
            <w:proofErr w:type="spellEnd"/>
            <w:r w:rsidRPr="0005645C">
              <w:rPr>
                <w:color w:val="595959" w:themeColor="text1" w:themeTint="A6"/>
              </w:rPr>
              <w:t xml:space="preserve"> de </w:t>
            </w:r>
            <w:proofErr w:type="spellStart"/>
            <w:r w:rsidRPr="0005645C">
              <w:rPr>
                <w:color w:val="595959" w:themeColor="text1" w:themeTint="A6"/>
              </w:rPr>
              <w:t>remplacement</w:t>
            </w:r>
            <w:proofErr w:type="spellEnd"/>
            <w:r w:rsidRPr="0005645C">
              <w:rPr>
                <w:color w:val="595959" w:themeColor="text1" w:themeTint="A6"/>
              </w:rPr>
              <w:t xml:space="preserve">). Les </w:t>
            </w:r>
            <w:proofErr w:type="spellStart"/>
            <w:r w:rsidRPr="0005645C">
              <w:rPr>
                <w:color w:val="595959" w:themeColor="text1" w:themeTint="A6"/>
              </w:rPr>
              <w:t>résiliations</w:t>
            </w:r>
            <w:proofErr w:type="spellEnd"/>
            <w:r w:rsidRPr="0005645C">
              <w:rPr>
                <w:color w:val="595959" w:themeColor="text1" w:themeTint="A6"/>
              </w:rPr>
              <w:t xml:space="preserve"> ne </w:t>
            </w:r>
            <w:proofErr w:type="spellStart"/>
            <w:r w:rsidRPr="0005645C">
              <w:rPr>
                <w:color w:val="595959" w:themeColor="text1" w:themeTint="A6"/>
              </w:rPr>
              <w:t>sont</w:t>
            </w:r>
            <w:proofErr w:type="spellEnd"/>
            <w:r w:rsidRPr="0005645C">
              <w:rPr>
                <w:color w:val="595959" w:themeColor="text1" w:themeTint="A6"/>
              </w:rPr>
              <w:t xml:space="preserve"> pas </w:t>
            </w:r>
            <w:proofErr w:type="spellStart"/>
            <w:proofErr w:type="gramStart"/>
            <w:r w:rsidRPr="0005645C">
              <w:rPr>
                <w:color w:val="595959" w:themeColor="text1" w:themeTint="A6"/>
              </w:rPr>
              <w:t>fréquentes</w:t>
            </w:r>
            <w:proofErr w:type="spellEnd"/>
            <w:r w:rsidRPr="0005645C">
              <w:rPr>
                <w:color w:val="595959" w:themeColor="text1" w:themeTint="A6"/>
              </w:rPr>
              <w:t xml:space="preserve"> :</w:t>
            </w:r>
            <w:proofErr w:type="gramEnd"/>
            <w:r w:rsidRPr="0005645C">
              <w:rPr>
                <w:color w:val="595959" w:themeColor="text1" w:themeTint="A6"/>
              </w:rPr>
              <w:t xml:space="preserve"> le </w:t>
            </w:r>
            <w:proofErr w:type="spellStart"/>
            <w:r w:rsidRPr="0005645C">
              <w:rPr>
                <w:color w:val="595959" w:themeColor="text1" w:themeTint="A6"/>
              </w:rPr>
              <w:t>renouvellement</w:t>
            </w:r>
            <w:proofErr w:type="spellEnd"/>
            <w:r w:rsidRPr="0005645C">
              <w:rPr>
                <w:color w:val="595959" w:themeColor="text1" w:themeTint="A6"/>
              </w:rPr>
              <w:t xml:space="preserve"> du bail </w:t>
            </w:r>
            <w:proofErr w:type="spellStart"/>
            <w:r w:rsidRPr="0005645C">
              <w:rPr>
                <w:color w:val="595959" w:themeColor="text1" w:themeTint="A6"/>
              </w:rPr>
              <w:t>est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une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méthode</w:t>
            </w:r>
            <w:proofErr w:type="spellEnd"/>
            <w:r w:rsidRPr="0005645C">
              <w:rPr>
                <w:color w:val="595959" w:themeColor="text1" w:themeTint="A6"/>
              </w:rPr>
              <w:t xml:space="preserve"> </w:t>
            </w:r>
            <w:proofErr w:type="spellStart"/>
            <w:r w:rsidRPr="0005645C">
              <w:rPr>
                <w:color w:val="595959" w:themeColor="text1" w:themeTint="A6"/>
              </w:rPr>
              <w:t>acceptée</w:t>
            </w:r>
            <w:proofErr w:type="spellEnd"/>
            <w:r w:rsidRPr="0005645C">
              <w:rPr>
                <w:color w:val="595959" w:themeColor="text1" w:themeTint="A6"/>
              </w:rPr>
              <w:t xml:space="preserve">. </w:t>
            </w:r>
          </w:p>
        </w:tc>
      </w:tr>
    </w:tbl>
    <w:p w14:paraId="56933AF1" w14:textId="77777777" w:rsidR="002C11E9" w:rsidRPr="002A16B6" w:rsidRDefault="002C11E9" w:rsidP="00C511D2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sectPr w:rsidR="002C11E9" w:rsidRPr="002A16B6" w:rsidSect="00706CAE"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080" w:bottom="1134" w:left="1080" w:header="709" w:footer="3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2C06C" w14:textId="77777777" w:rsidR="00497521" w:rsidRDefault="00497521">
      <w:r>
        <w:separator/>
      </w:r>
    </w:p>
  </w:endnote>
  <w:endnote w:type="continuationSeparator" w:id="0">
    <w:p w14:paraId="53AE3755" w14:textId="77777777" w:rsidR="00497521" w:rsidRDefault="0049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267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-2072950837"/>
          <w:docPartObj>
            <w:docPartGallery w:val="Page Numbers (Top of Page)"/>
            <w:docPartUnique/>
          </w:docPartObj>
        </w:sdtPr>
        <w:sdtEndPr/>
        <w:sdtContent>
          <w:p w14:paraId="0CF98765" w14:textId="77777777" w:rsidR="00845C58" w:rsidRPr="004B7D7D" w:rsidRDefault="001D0BCC" w:rsidP="004B7D7D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B</w:t>
            </w:r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asée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material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disponible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site </w:t>
            </w:r>
            <w:hyperlink r:id="rId1" w:history="1">
              <w:r w:rsidRPr="00D33080">
                <w:rPr>
                  <w:rStyle w:val="Hyperlink"/>
                  <w:rFonts w:ascii="Arial" w:hAnsi="Arial" w:cs="Arial"/>
                  <w:i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="004B7D7D"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C511D2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2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de</w:t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C511D2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5BCBE5D0" w14:textId="77777777" w:rsidR="00845C58" w:rsidRPr="004B7D7D" w:rsidRDefault="00845C58" w:rsidP="001D0BCC">
    <w:pPr>
      <w:pStyle w:val="Footer"/>
      <w:jc w:val="right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643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974873988"/>
          <w:docPartObj>
            <w:docPartGallery w:val="Page Numbers (Top of Page)"/>
            <w:docPartUnique/>
          </w:docPartObj>
        </w:sdtPr>
        <w:sdtEndPr/>
        <w:sdtContent>
          <w:p w14:paraId="7947BBDA" w14:textId="5EAEBF0F" w:rsidR="00C80763" w:rsidRPr="004B7D7D" w:rsidRDefault="00C511D2" w:rsidP="00C80763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B</w:t>
            </w:r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asée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material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disponible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site </w:t>
            </w:r>
            <w:hyperlink r:id="rId1" w:history="1">
              <w:r w:rsidRPr="00D33080">
                <w:rPr>
                  <w:rStyle w:val="Hyperlink"/>
                  <w:rFonts w:ascii="Arial" w:hAnsi="Arial" w:cs="Arial"/>
                  <w:i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="00C80763"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C80763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C80763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de</w:t>
            </w:r>
            <w:r w:rsidR="00C80763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4FFEA603" w14:textId="77777777" w:rsidR="00C80763" w:rsidRPr="004B7D7D" w:rsidRDefault="00C80763" w:rsidP="00C80763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 w:cs="Times New Roman"/>
        <w:color w:val="7030A0"/>
        <w:sz w:val="20"/>
        <w:szCs w:val="20"/>
        <w:lang w:eastAsia="en-US"/>
      </w:rPr>
      <w:id w:val="-936295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sdt>
        <w:sdtPr>
          <w:rPr>
            <w:rFonts w:ascii="Cambria" w:hAnsi="Cambria" w:cs="Times New Roman"/>
            <w:color w:val="7030A0"/>
            <w:sz w:val="20"/>
            <w:szCs w:val="20"/>
            <w:lang w:eastAsia="en-US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color w:val="595959" w:themeColor="text1" w:themeTint="A6"/>
            <w:sz w:val="22"/>
            <w:szCs w:val="22"/>
          </w:rPr>
        </w:sdtEndPr>
        <w:sdtContent>
          <w:p w14:paraId="6C5A3ABB" w14:textId="77777777" w:rsidR="00C66446" w:rsidRDefault="00C66446" w:rsidP="00C66446">
            <w:pPr>
              <w:pStyle w:val="Default"/>
            </w:pPr>
          </w:p>
          <w:p w14:paraId="5C8BFC1C" w14:textId="77777777" w:rsidR="00845C58" w:rsidRPr="00B21E9F" w:rsidRDefault="001D0BCC" w:rsidP="00C66446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B</w:t>
            </w:r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asée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material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disponible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site </w:t>
            </w:r>
            <w:hyperlink r:id="rId1" w:history="1">
              <w:r w:rsidRPr="00D33080">
                <w:rPr>
                  <w:rStyle w:val="Hyperlink"/>
                  <w:rFonts w:ascii="Arial" w:hAnsi="Arial" w:cs="Arial"/>
                  <w:i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="00C66446" w:rsidRPr="00B21E9F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C511D2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1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de</w:t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C511D2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0153B8D5" w14:textId="77777777" w:rsidR="00845C58" w:rsidRDefault="00845C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91B12" w14:textId="77777777" w:rsidR="00497521" w:rsidRDefault="00497521">
      <w:r>
        <w:separator/>
      </w:r>
    </w:p>
  </w:footnote>
  <w:footnote w:type="continuationSeparator" w:id="0">
    <w:p w14:paraId="0AA15E97" w14:textId="77777777" w:rsidR="00497521" w:rsidRDefault="004975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AF1C2" w14:textId="2C0EB7E1" w:rsidR="006848E6" w:rsidRDefault="0082476B" w:rsidP="0082476B">
    <w:pPr>
      <w:tabs>
        <w:tab w:val="left" w:pos="1560"/>
        <w:tab w:val="left" w:pos="3119"/>
      </w:tabs>
      <w:contextualSpacing/>
      <w:rPr>
        <w:rFonts w:ascii="Arial" w:hAnsi="Arial"/>
        <w:color w:val="E30613"/>
        <w:sz w:val="50"/>
      </w:rPr>
    </w:pPr>
    <w:r>
      <w:rPr>
        <w:noProof/>
        <w:lang w:val="en-US"/>
      </w:rPr>
      <w:drawing>
        <wp:anchor distT="0" distB="0" distL="114300" distR="114300" simplePos="0" relativeHeight="251657727" behindDoc="1" locked="0" layoutInCell="1" allowOverlap="1" wp14:anchorId="3E9BCFF8" wp14:editId="7A8627F2">
          <wp:simplePos x="0" y="0"/>
          <wp:positionH relativeFrom="column">
            <wp:posOffset>-157879</wp:posOffset>
          </wp:positionH>
          <wp:positionV relativeFrom="paragraph">
            <wp:posOffset>-46178</wp:posOffset>
          </wp:positionV>
          <wp:extent cx="1021501" cy="1084521"/>
          <wp:effectExtent l="0" t="0" r="762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01" cy="108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8E6" w:rsidRPr="008C2740">
      <w:rPr>
        <w:rFonts w:ascii="Arial" w:hAnsi="Arial"/>
        <w:sz w:val="50"/>
      </w:rPr>
      <w:tab/>
    </w:r>
    <w:proofErr w:type="spellStart"/>
    <w:r w:rsidR="00C511D2">
      <w:rPr>
        <w:rFonts w:ascii="Arial" w:hAnsi="Arial"/>
        <w:color w:val="E30613"/>
        <w:sz w:val="50"/>
      </w:rPr>
      <w:t>Outil</w:t>
    </w:r>
    <w:proofErr w:type="spellEnd"/>
    <w:r w:rsidR="006848E6" w:rsidRPr="0082476B">
      <w:rPr>
        <w:rFonts w:ascii="Arial" w:hAnsi="Arial"/>
        <w:color w:val="E30613"/>
        <w:sz w:val="50"/>
      </w:rPr>
      <w:t xml:space="preserve"> </w:t>
    </w:r>
    <w:r w:rsidR="008006E1">
      <w:rPr>
        <w:rFonts w:ascii="Arial" w:hAnsi="Arial"/>
        <w:color w:val="E30613"/>
        <w:sz w:val="50"/>
      </w:rPr>
      <w:t>5</w:t>
    </w:r>
    <w:r w:rsidR="0008515E" w:rsidRPr="0082476B">
      <w:rPr>
        <w:rFonts w:ascii="Arial" w:hAnsi="Arial"/>
        <w:color w:val="E30613"/>
        <w:sz w:val="50"/>
      </w:rPr>
      <w:br/>
    </w:r>
    <w:r w:rsidR="0008515E" w:rsidRPr="0082476B">
      <w:rPr>
        <w:rFonts w:ascii="Arial" w:hAnsi="Arial"/>
        <w:color w:val="E30613"/>
        <w:sz w:val="50"/>
      </w:rPr>
      <w:tab/>
    </w:r>
    <w:r w:rsidR="00C511D2">
      <w:rPr>
        <w:rFonts w:ascii="Arial" w:hAnsi="Arial"/>
        <w:b/>
        <w:color w:val="E30613"/>
        <w:sz w:val="50"/>
      </w:rPr>
      <w:t>Conditions</w:t>
    </w:r>
    <w:r w:rsidR="008006E1">
      <w:rPr>
        <w:rFonts w:ascii="Arial" w:hAnsi="Arial"/>
        <w:b/>
        <w:color w:val="E30613"/>
        <w:sz w:val="50"/>
      </w:rPr>
      <w:t xml:space="preserve"> </w:t>
    </w:r>
    <w:r w:rsidR="00C511D2">
      <w:rPr>
        <w:rFonts w:ascii="Arial" w:hAnsi="Arial"/>
        <w:b/>
        <w:color w:val="E30613"/>
        <w:sz w:val="50"/>
      </w:rPr>
      <w:t>du</w:t>
    </w:r>
    <w:r w:rsidR="008006E1">
      <w:rPr>
        <w:rFonts w:ascii="Arial" w:hAnsi="Arial"/>
        <w:b/>
        <w:color w:val="E30613"/>
        <w:sz w:val="50"/>
      </w:rPr>
      <w:t xml:space="preserve"> </w:t>
    </w:r>
    <w:r w:rsidR="00C511D2">
      <w:rPr>
        <w:rFonts w:ascii="Arial" w:hAnsi="Arial"/>
        <w:b/>
        <w:color w:val="E30613"/>
        <w:sz w:val="50"/>
      </w:rPr>
      <w:t>bail</w:t>
    </w:r>
  </w:p>
  <w:p w14:paraId="349952F4" w14:textId="77777777" w:rsidR="0082476B" w:rsidRDefault="0082476B" w:rsidP="0082476B">
    <w:pPr>
      <w:tabs>
        <w:tab w:val="left" w:pos="1560"/>
        <w:tab w:val="left" w:pos="3119"/>
      </w:tabs>
      <w:contextualSpacing/>
      <w:rPr>
        <w:rFonts w:ascii="Arial" w:hAnsi="Arial"/>
        <w:color w:val="E30613"/>
        <w:sz w:val="50"/>
      </w:rPr>
    </w:pPr>
  </w:p>
  <w:p w14:paraId="79102C4F" w14:textId="77777777" w:rsidR="0082476B" w:rsidRPr="0082476B" w:rsidRDefault="0082476B" w:rsidP="0082476B">
    <w:pPr>
      <w:tabs>
        <w:tab w:val="left" w:pos="1560"/>
        <w:tab w:val="left" w:pos="3119"/>
      </w:tabs>
      <w:contextualSpacing/>
      <w:rPr>
        <w:rFonts w:ascii="Arial" w:hAnsi="Arial" w:cs="Arial"/>
        <w:color w:val="E30613"/>
        <w:sz w:val="22"/>
        <w:szCs w:val="22"/>
      </w:rPr>
    </w:pPr>
  </w:p>
  <w:p w14:paraId="7C80D273" w14:textId="77777777" w:rsidR="006848E6" w:rsidRPr="0082476B" w:rsidRDefault="006848E6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E30613"/>
        <w:sz w:val="22"/>
        <w:szCs w:val="22"/>
      </w:rPr>
    </w:pPr>
  </w:p>
  <w:p w14:paraId="75167A70" w14:textId="77777777" w:rsidR="006848E6" w:rsidRPr="0082476B" w:rsidRDefault="006848E6">
    <w:pPr>
      <w:pStyle w:val="Header"/>
      <w:contextualSpacing/>
      <w:rPr>
        <w:rFonts w:ascii="Arial" w:hAnsi="Arial" w:cs="Arial"/>
        <w:color w:val="E3061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4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19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3"/>
  </w:num>
  <w:num w:numId="15">
    <w:abstractNumId w:val="8"/>
  </w:num>
  <w:num w:numId="16">
    <w:abstractNumId w:val="17"/>
  </w:num>
  <w:num w:numId="17">
    <w:abstractNumId w:val="18"/>
  </w:num>
  <w:num w:numId="18">
    <w:abstractNumId w:val="14"/>
  </w:num>
  <w:num w:numId="19">
    <w:abstractNumId w:val="13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460F0"/>
    <w:rsid w:val="00051C44"/>
    <w:rsid w:val="000548DA"/>
    <w:rsid w:val="0008515E"/>
    <w:rsid w:val="000B630B"/>
    <w:rsid w:val="000C5C25"/>
    <w:rsid w:val="001912C9"/>
    <w:rsid w:val="001D0BCC"/>
    <w:rsid w:val="002427A6"/>
    <w:rsid w:val="00257E6B"/>
    <w:rsid w:val="00260847"/>
    <w:rsid w:val="002A16B6"/>
    <w:rsid w:val="002A3AB9"/>
    <w:rsid w:val="002C11E9"/>
    <w:rsid w:val="002C6899"/>
    <w:rsid w:val="003E2593"/>
    <w:rsid w:val="003E70E9"/>
    <w:rsid w:val="003F1B6D"/>
    <w:rsid w:val="00406861"/>
    <w:rsid w:val="00497521"/>
    <w:rsid w:val="004B7D7D"/>
    <w:rsid w:val="004C64B1"/>
    <w:rsid w:val="004D4F38"/>
    <w:rsid w:val="004F34D3"/>
    <w:rsid w:val="00592E68"/>
    <w:rsid w:val="006848E6"/>
    <w:rsid w:val="00687602"/>
    <w:rsid w:val="00706CAE"/>
    <w:rsid w:val="00764FCE"/>
    <w:rsid w:val="00766017"/>
    <w:rsid w:val="007C3A06"/>
    <w:rsid w:val="007D07CF"/>
    <w:rsid w:val="008006E1"/>
    <w:rsid w:val="008108BF"/>
    <w:rsid w:val="0082476B"/>
    <w:rsid w:val="00844175"/>
    <w:rsid w:val="00845C58"/>
    <w:rsid w:val="008733D2"/>
    <w:rsid w:val="008E77BD"/>
    <w:rsid w:val="00960E94"/>
    <w:rsid w:val="009D179A"/>
    <w:rsid w:val="00B06EA0"/>
    <w:rsid w:val="00B21E9F"/>
    <w:rsid w:val="00C20A65"/>
    <w:rsid w:val="00C511D2"/>
    <w:rsid w:val="00C5414A"/>
    <w:rsid w:val="00C66446"/>
    <w:rsid w:val="00C7008B"/>
    <w:rsid w:val="00C80763"/>
    <w:rsid w:val="00C80928"/>
    <w:rsid w:val="00D61B4D"/>
    <w:rsid w:val="00DA6DFF"/>
    <w:rsid w:val="00DF2AEF"/>
    <w:rsid w:val="00E50151"/>
    <w:rsid w:val="00EF6E1F"/>
    <w:rsid w:val="00F4240C"/>
    <w:rsid w:val="00F553C7"/>
    <w:rsid w:val="00F71B38"/>
    <w:rsid w:val="00FA418E"/>
    <w:rsid w:val="00FF7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62483"/>
    </o:shapedefaults>
    <o:shapelayout v:ext="edit">
      <o:idmap v:ext="edit" data="1"/>
    </o:shapelayout>
  </w:shapeDefaults>
  <w:decimalSymbol w:val="."/>
  <w:listSeparator w:val=","/>
  <w14:docId w14:val="20126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4FEBF-4311-BB43-B1B1-3B241D6C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4002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Lomon</dc:creator>
  <cp:lastModifiedBy>Raquel Vazquez Llorente</cp:lastModifiedBy>
  <cp:revision>5</cp:revision>
  <cp:lastPrinted>2013-07-25T14:08:00Z</cp:lastPrinted>
  <dcterms:created xsi:type="dcterms:W3CDTF">2015-06-10T17:16:00Z</dcterms:created>
  <dcterms:modified xsi:type="dcterms:W3CDTF">2015-06-10T17:21:00Z</dcterms:modified>
</cp:coreProperties>
</file>