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1C973"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Cette check-list donne des précisions sur les principales conditions que l’on retrouve dans les baux commerciaux. Il sera impératif de les étudier au cas par cas au fur et à mesure des négociations. La liste peut être modifiée en fonction des besoins. </w:t>
      </w:r>
    </w:p>
    <w:p w14:paraId="2C0A3332" w14:textId="77777777" w:rsidR="005152F6" w:rsidRPr="002A1794" w:rsidRDefault="005152F6" w:rsidP="00660C1F">
      <w:pPr>
        <w:rPr>
          <w:rFonts w:ascii="Arial" w:hAnsi="Arial" w:cs="Arial"/>
          <w:color w:val="595959" w:themeColor="text1" w:themeTint="A6"/>
          <w:sz w:val="22"/>
          <w:szCs w:val="22"/>
        </w:rPr>
      </w:pPr>
    </w:p>
    <w:tbl>
      <w:tblPr>
        <w:tblStyle w:val="TableGrid"/>
        <w:tblW w:w="969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left w:w="57" w:type="dxa"/>
          <w:bottom w:w="113" w:type="dxa"/>
          <w:right w:w="113" w:type="dxa"/>
        </w:tblCellMar>
        <w:tblLook w:val="04A0" w:firstRow="1" w:lastRow="0" w:firstColumn="1" w:lastColumn="0" w:noHBand="0" w:noVBand="1"/>
      </w:tblPr>
      <w:tblGrid>
        <w:gridCol w:w="3034"/>
        <w:gridCol w:w="6662"/>
      </w:tblGrid>
      <w:tr w:rsidR="00660C1F" w:rsidRPr="00A977E7" w14:paraId="292BF332" w14:textId="77777777" w:rsidTr="00660C1F">
        <w:trPr>
          <w:trHeight w:val="340"/>
        </w:trPr>
        <w:tc>
          <w:tcPr>
            <w:tcW w:w="3034" w:type="dxa"/>
            <w:vAlign w:val="center"/>
          </w:tcPr>
          <w:p w14:paraId="1E5AC6A7"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Identité et description des parties </w:t>
            </w:r>
          </w:p>
        </w:tc>
        <w:tc>
          <w:tcPr>
            <w:tcW w:w="6662" w:type="dxa"/>
            <w:vAlign w:val="center"/>
          </w:tcPr>
          <w:p w14:paraId="1B83C512"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Description claire et légalement précise du ou des propriétaire(s). S’il existe plusieurs propriétaires, par exemple plusieurs personnes nommément désignées, l’un d’eux devra être habilité à agir pour le compte des autres, par exemple par le biais d’une procuration. </w:t>
            </w:r>
          </w:p>
        </w:tc>
      </w:tr>
      <w:tr w:rsidR="00660C1F" w:rsidRPr="00A977E7" w14:paraId="1D1C3457" w14:textId="77777777" w:rsidTr="00660C1F">
        <w:trPr>
          <w:trHeight w:val="340"/>
        </w:trPr>
        <w:tc>
          <w:tcPr>
            <w:tcW w:w="3034" w:type="dxa"/>
            <w:vAlign w:val="center"/>
          </w:tcPr>
          <w:p w14:paraId="161D8CB9"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Coût d’obtention du bien pour s’assurer qu’il ne soit plus commercialisé </w:t>
            </w:r>
          </w:p>
        </w:tc>
        <w:tc>
          <w:tcPr>
            <w:tcW w:w="6662" w:type="dxa"/>
            <w:vAlign w:val="center"/>
          </w:tcPr>
          <w:p w14:paraId="06AC5A98"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Il peut être nécessaire de verser un acompte pour s’assurer d’obtenir le bien – veiller à ce que le montant soit minimal. </w:t>
            </w:r>
          </w:p>
        </w:tc>
      </w:tr>
      <w:tr w:rsidR="00660C1F" w:rsidRPr="00A977E7" w14:paraId="69C31FC2" w14:textId="77777777" w:rsidTr="00660C1F">
        <w:trPr>
          <w:trHeight w:val="340"/>
        </w:trPr>
        <w:tc>
          <w:tcPr>
            <w:tcW w:w="3034" w:type="dxa"/>
            <w:vAlign w:val="center"/>
          </w:tcPr>
          <w:p w14:paraId="5E10AD25"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Garantie bancaire </w:t>
            </w:r>
          </w:p>
        </w:tc>
        <w:tc>
          <w:tcPr>
            <w:tcW w:w="6662" w:type="dxa"/>
            <w:vAlign w:val="center"/>
          </w:tcPr>
          <w:p w14:paraId="40CF3F7B"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Pas recommandée (voir dépôt de garantie ci-après) </w:t>
            </w:r>
          </w:p>
        </w:tc>
      </w:tr>
      <w:tr w:rsidR="00660C1F" w:rsidRPr="00A977E7" w14:paraId="02A29563" w14:textId="77777777" w:rsidTr="00660C1F">
        <w:trPr>
          <w:trHeight w:val="340"/>
        </w:trPr>
        <w:tc>
          <w:tcPr>
            <w:tcW w:w="3034" w:type="dxa"/>
            <w:vAlign w:val="center"/>
          </w:tcPr>
          <w:p w14:paraId="7DA639A7"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Descriptif des lieux </w:t>
            </w:r>
          </w:p>
        </w:tc>
        <w:tc>
          <w:tcPr>
            <w:tcW w:w="6662" w:type="dxa"/>
            <w:vAlign w:val="center"/>
          </w:tcPr>
          <w:p w14:paraId="6CFEB640"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Définition claire et précise des lieux, en incluant la superficie, les plans de sol (à joindre au bail) et toute affectation de places de parking. Tous les droits d’accès et de sortie, droits d’accès aux parties communes (par exemple réception principale, ascenseurs et toilettes) et tout autre service connexe devront également être spécifiés. </w:t>
            </w:r>
          </w:p>
        </w:tc>
      </w:tr>
      <w:tr w:rsidR="00660C1F" w:rsidRPr="00A977E7" w14:paraId="6A69D0F9" w14:textId="77777777" w:rsidTr="00660C1F">
        <w:trPr>
          <w:trHeight w:val="340"/>
        </w:trPr>
        <w:tc>
          <w:tcPr>
            <w:tcW w:w="3034" w:type="dxa"/>
            <w:vAlign w:val="center"/>
          </w:tcPr>
          <w:p w14:paraId="3249AC3D"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Durée du bail </w:t>
            </w:r>
          </w:p>
        </w:tc>
        <w:tc>
          <w:tcPr>
            <w:tcW w:w="6662" w:type="dxa"/>
            <w:vAlign w:val="center"/>
          </w:tcPr>
          <w:p w14:paraId="4F617F9F"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Durée minimale et maximale </w:t>
            </w:r>
          </w:p>
        </w:tc>
      </w:tr>
      <w:tr w:rsidR="00660C1F" w:rsidRPr="00A977E7" w14:paraId="4CA22FC5" w14:textId="77777777" w:rsidTr="00660C1F">
        <w:trPr>
          <w:trHeight w:val="340"/>
        </w:trPr>
        <w:tc>
          <w:tcPr>
            <w:tcW w:w="3034" w:type="dxa"/>
            <w:vAlign w:val="center"/>
          </w:tcPr>
          <w:p w14:paraId="7882D4F8"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Commencement du bail </w:t>
            </w:r>
          </w:p>
        </w:tc>
        <w:tc>
          <w:tcPr>
            <w:tcW w:w="6662" w:type="dxa"/>
            <w:vAlign w:val="center"/>
          </w:tcPr>
          <w:p w14:paraId="4E31193E"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Déclaration claire relative à la durée du bail, au commencement du bail et aux dates d’expiration </w:t>
            </w:r>
          </w:p>
        </w:tc>
      </w:tr>
      <w:tr w:rsidR="00660C1F" w:rsidRPr="00A977E7" w14:paraId="0FA7E877" w14:textId="77777777" w:rsidTr="00660C1F">
        <w:trPr>
          <w:trHeight w:val="340"/>
        </w:trPr>
        <w:tc>
          <w:tcPr>
            <w:tcW w:w="3034" w:type="dxa"/>
            <w:vAlign w:val="center"/>
          </w:tcPr>
          <w:p w14:paraId="050F8704"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Loyer et paiement du loyer </w:t>
            </w:r>
          </w:p>
        </w:tc>
        <w:tc>
          <w:tcPr>
            <w:tcW w:w="6662" w:type="dxa"/>
            <w:vAlign w:val="center"/>
          </w:tcPr>
          <w:p w14:paraId="3FBB4DE4"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Le montant du loyer et la fréquence à laquelle il doit être versé doivent être clairement spécifiées, y compris le coût par mètre carré ; il faut également préciser si cette somme comprend les taxes locales, la TVA et d’éventuels frais de service. </w:t>
            </w:r>
          </w:p>
        </w:tc>
      </w:tr>
      <w:tr w:rsidR="00660C1F" w:rsidRPr="00A977E7" w14:paraId="55371E8E" w14:textId="77777777" w:rsidTr="00660C1F">
        <w:trPr>
          <w:trHeight w:val="340"/>
        </w:trPr>
        <w:tc>
          <w:tcPr>
            <w:tcW w:w="3034" w:type="dxa"/>
            <w:vAlign w:val="center"/>
          </w:tcPr>
          <w:p w14:paraId="378DDF65"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Dépôt de garantie </w:t>
            </w:r>
          </w:p>
        </w:tc>
        <w:tc>
          <w:tcPr>
            <w:tcW w:w="6662" w:type="dxa"/>
            <w:vAlign w:val="center"/>
          </w:tcPr>
          <w:p w14:paraId="58BFE814"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Les dépôts de garantie ne doivent être acceptés que lorsque le propriétaire les réclame et qu’ils représentent une pratique normale sur le marché. Ils devront être remboursables dans leur intégralité au moment où le bail expirera ou sera résilié prématurément, sauf s’ils sont conservés pour couvrir des dommages. </w:t>
            </w:r>
          </w:p>
        </w:tc>
      </w:tr>
      <w:tr w:rsidR="00660C1F" w:rsidRPr="00A977E7" w14:paraId="2F3C523C" w14:textId="77777777" w:rsidTr="00660C1F">
        <w:trPr>
          <w:trHeight w:val="340"/>
        </w:trPr>
        <w:tc>
          <w:tcPr>
            <w:tcW w:w="3034" w:type="dxa"/>
            <w:vAlign w:val="center"/>
          </w:tcPr>
          <w:p w14:paraId="3E9C1EE1"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Frais de service </w:t>
            </w:r>
          </w:p>
        </w:tc>
        <w:tc>
          <w:tcPr>
            <w:tcW w:w="6662" w:type="dxa"/>
            <w:vAlign w:val="center"/>
          </w:tcPr>
          <w:p w14:paraId="065969CB"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Déclaration claire des services fournis par le propriétaire et des montants à payer en contrepartie de ceux-ci. Le locataire devra avoir le droit d’examiner ces frais. Si le bâtiment est occupé par de multiples locataires, les frais </w:t>
            </w:r>
            <w:r w:rsidRPr="0005645C">
              <w:rPr>
                <w:rFonts w:ascii="Arial" w:hAnsi="Arial" w:cs="Arial"/>
                <w:color w:val="595959" w:themeColor="text1" w:themeTint="A6"/>
              </w:rPr>
              <w:lastRenderedPageBreak/>
              <w:t xml:space="preserve">devront être répartis entre les locataires proportionnellement à la surface occupée. La formule employée pour déterminer les hausses des frais de service devra être claire et raisonnable. </w:t>
            </w:r>
          </w:p>
        </w:tc>
      </w:tr>
    </w:tbl>
    <w:p w14:paraId="382B9832" w14:textId="77777777" w:rsidR="0006578B" w:rsidRDefault="0006578B" w:rsidP="00660C1F"/>
    <w:tbl>
      <w:tblPr>
        <w:tblStyle w:val="TableGrid"/>
        <w:tblW w:w="969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left w:w="57" w:type="dxa"/>
          <w:bottom w:w="113" w:type="dxa"/>
          <w:right w:w="113" w:type="dxa"/>
        </w:tblCellMar>
        <w:tblLook w:val="04A0" w:firstRow="1" w:lastRow="0" w:firstColumn="1" w:lastColumn="0" w:noHBand="0" w:noVBand="1"/>
      </w:tblPr>
      <w:tblGrid>
        <w:gridCol w:w="3034"/>
        <w:gridCol w:w="6662"/>
      </w:tblGrid>
      <w:tr w:rsidR="00660C1F" w:rsidRPr="00A977E7" w14:paraId="4318424F" w14:textId="77777777" w:rsidTr="00660C1F">
        <w:trPr>
          <w:trHeight w:val="340"/>
        </w:trPr>
        <w:tc>
          <w:tcPr>
            <w:tcW w:w="3034" w:type="dxa"/>
            <w:vAlign w:val="center"/>
          </w:tcPr>
          <w:p w14:paraId="7B7A8C2E"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Droits et autres taxes </w:t>
            </w:r>
          </w:p>
        </w:tc>
        <w:tc>
          <w:tcPr>
            <w:tcW w:w="6662" w:type="dxa"/>
            <w:vAlign w:val="center"/>
          </w:tcPr>
          <w:p w14:paraId="2760AEA2"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Déclaration claire du fait que le locataire n’est responsable que des taxes basées sur l’occupation (le cas échéant) et non pas des taxes applicables à la propriété du bien. </w:t>
            </w:r>
          </w:p>
        </w:tc>
      </w:tr>
      <w:tr w:rsidR="00660C1F" w:rsidRPr="00A977E7" w14:paraId="682EFDE7" w14:textId="77777777" w:rsidTr="00660C1F">
        <w:trPr>
          <w:trHeight w:val="340"/>
        </w:trPr>
        <w:tc>
          <w:tcPr>
            <w:tcW w:w="3034" w:type="dxa"/>
            <w:vAlign w:val="center"/>
          </w:tcPr>
          <w:p w14:paraId="14B4B927"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Services </w:t>
            </w:r>
          </w:p>
        </w:tc>
        <w:tc>
          <w:tcPr>
            <w:tcW w:w="6662" w:type="dxa"/>
            <w:vAlign w:val="center"/>
          </w:tcPr>
          <w:p w14:paraId="742FC895"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Déclaration claire de ces services (eau, gaz, électricité – y compris climatisation, égouts, télécommunications, etc.) et de la manière dont les frais sont calculés. Il faut veiller à clairement identifier la méthode de paiement et la fréquence, par exemple paiement direct au fournisseur du service ou par l’intermédiaire du propriétaire. Si ces coûts doivent être versés au propriétaire, veiller à ce qu’il n’en majore pas le prix. </w:t>
            </w:r>
          </w:p>
        </w:tc>
      </w:tr>
      <w:tr w:rsidR="00660C1F" w:rsidRPr="00A977E7" w14:paraId="4F8C25AB" w14:textId="77777777" w:rsidTr="00660C1F">
        <w:trPr>
          <w:trHeight w:val="340"/>
        </w:trPr>
        <w:tc>
          <w:tcPr>
            <w:tcW w:w="3034" w:type="dxa"/>
            <w:vAlign w:val="center"/>
          </w:tcPr>
          <w:p w14:paraId="6DCF77D5"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Franchise de loyer </w:t>
            </w:r>
          </w:p>
        </w:tc>
        <w:tc>
          <w:tcPr>
            <w:tcW w:w="6662" w:type="dxa"/>
            <w:vAlign w:val="center"/>
          </w:tcPr>
          <w:p w14:paraId="4B351C51"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Obtenir une franchise aussi élevée que possible. </w:t>
            </w:r>
          </w:p>
        </w:tc>
      </w:tr>
      <w:tr w:rsidR="00660C1F" w:rsidRPr="00A977E7" w14:paraId="78E42031" w14:textId="77777777" w:rsidTr="00660C1F">
        <w:trPr>
          <w:trHeight w:val="340"/>
        </w:trPr>
        <w:tc>
          <w:tcPr>
            <w:tcW w:w="3034" w:type="dxa"/>
            <w:vAlign w:val="center"/>
          </w:tcPr>
          <w:p w14:paraId="4E8DED95"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Autres mesures incitatives financières </w:t>
            </w:r>
          </w:p>
        </w:tc>
        <w:tc>
          <w:tcPr>
            <w:tcW w:w="6662" w:type="dxa"/>
            <w:vAlign w:val="center"/>
          </w:tcPr>
          <w:p w14:paraId="35E04C83"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Obtenir le plus possible. Il pourrait s’agir de capitaux ou d’une contribution destinés à l’aménagement des locaux. </w:t>
            </w:r>
          </w:p>
        </w:tc>
      </w:tr>
      <w:tr w:rsidR="00660C1F" w:rsidRPr="00A977E7" w14:paraId="5E7D2857" w14:textId="77777777" w:rsidTr="00660C1F">
        <w:trPr>
          <w:trHeight w:val="340"/>
        </w:trPr>
        <w:tc>
          <w:tcPr>
            <w:tcW w:w="3034" w:type="dxa"/>
            <w:vAlign w:val="center"/>
          </w:tcPr>
          <w:p w14:paraId="62B3F980"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Révisions / hausses du loyer </w:t>
            </w:r>
          </w:p>
        </w:tc>
        <w:tc>
          <w:tcPr>
            <w:tcW w:w="6662" w:type="dxa"/>
            <w:vAlign w:val="center"/>
          </w:tcPr>
          <w:p w14:paraId="2D778D86"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Déclaration claire de la fréquence des révisions du loyer et des hausses projetées pendant la durée du bail. Demander par quels moyens le loyer sera révisé (par exemple prix du marché, hausse fixe ou selon l’indice général des prix à la consommation d’un indice équivalent). Veiller à ce que des dispositions d’arbitrage soient incluses en cas de litige. </w:t>
            </w:r>
          </w:p>
        </w:tc>
      </w:tr>
      <w:tr w:rsidR="00660C1F" w:rsidRPr="00A977E7" w14:paraId="68655B6E" w14:textId="77777777" w:rsidTr="00660C1F">
        <w:trPr>
          <w:trHeight w:val="340"/>
        </w:trPr>
        <w:tc>
          <w:tcPr>
            <w:tcW w:w="3034" w:type="dxa"/>
            <w:vAlign w:val="center"/>
          </w:tcPr>
          <w:p w14:paraId="02818992"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Clause de résiliation </w:t>
            </w:r>
          </w:p>
        </w:tc>
        <w:tc>
          <w:tcPr>
            <w:tcW w:w="6662" w:type="dxa"/>
            <w:vAlign w:val="center"/>
          </w:tcPr>
          <w:p w14:paraId="3E875219"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Un droit clair pour le locataire de résilier la location à certains moments du bail ou sous réserve d’un préavis s’il cesse ou réduit ses opérations dans la région en question. Ce droit devra être exercé sans entraîner de pénalités financières. Le propriétaire ne devra pas avoir le droit de résilier le contrat tant que le locataire remplira les obligations matérielles du bail. </w:t>
            </w:r>
          </w:p>
        </w:tc>
      </w:tr>
      <w:tr w:rsidR="00660C1F" w:rsidRPr="00A977E7" w14:paraId="2296325E" w14:textId="77777777" w:rsidTr="00660C1F">
        <w:trPr>
          <w:trHeight w:val="340"/>
        </w:trPr>
        <w:tc>
          <w:tcPr>
            <w:tcW w:w="3034" w:type="dxa"/>
            <w:vAlign w:val="center"/>
          </w:tcPr>
          <w:p w14:paraId="13716D58"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Options de renouvellement </w:t>
            </w:r>
          </w:p>
        </w:tc>
        <w:tc>
          <w:tcPr>
            <w:tcW w:w="6662" w:type="dxa"/>
            <w:vAlign w:val="center"/>
          </w:tcPr>
          <w:p w14:paraId="017C8F68"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Droit à renouveler un bail pour la même durée ou pour une durée différente. Il faudra clairement identifier le préavis à donner pour exercer ce droit. Il est préférable de devoir donner un préavis actif plutôt que de compter sur un renouvellement automatique, afin d’éviter le risque de renouvellement par défaut. </w:t>
            </w:r>
          </w:p>
        </w:tc>
      </w:tr>
      <w:tr w:rsidR="00660C1F" w:rsidRPr="00A977E7" w14:paraId="72F5DA62" w14:textId="77777777" w:rsidTr="00660C1F">
        <w:trPr>
          <w:trHeight w:val="340"/>
        </w:trPr>
        <w:tc>
          <w:tcPr>
            <w:tcW w:w="3034" w:type="dxa"/>
            <w:vAlign w:val="center"/>
          </w:tcPr>
          <w:p w14:paraId="771712B8"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Options d’extension </w:t>
            </w:r>
          </w:p>
        </w:tc>
        <w:tc>
          <w:tcPr>
            <w:tcW w:w="6662" w:type="dxa"/>
            <w:vAlign w:val="center"/>
          </w:tcPr>
          <w:p w14:paraId="4B3608A1"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Option ou droit de préemption relatifs à un espace supplémentaire défini en fonction des besoins potentiels d’extension et option d’appliquer cette extension au bien. </w:t>
            </w:r>
          </w:p>
        </w:tc>
      </w:tr>
      <w:tr w:rsidR="00660C1F" w:rsidRPr="00A977E7" w14:paraId="4B6F11BF" w14:textId="77777777" w:rsidTr="00660C1F">
        <w:trPr>
          <w:trHeight w:val="340"/>
        </w:trPr>
        <w:tc>
          <w:tcPr>
            <w:tcW w:w="3034" w:type="dxa"/>
            <w:vAlign w:val="center"/>
          </w:tcPr>
          <w:p w14:paraId="5CC7CFE5"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Délabrement / état </w:t>
            </w:r>
          </w:p>
        </w:tc>
        <w:tc>
          <w:tcPr>
            <w:tcW w:w="6662" w:type="dxa"/>
            <w:vAlign w:val="center"/>
          </w:tcPr>
          <w:p w14:paraId="787F6C6A"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État des lieux joint au bail enregistrant l’état dans lequel le bien est loué. Usure normale pendant la première période du </w:t>
            </w:r>
            <w:r w:rsidRPr="0005645C">
              <w:rPr>
                <w:rFonts w:ascii="Arial" w:hAnsi="Arial" w:cs="Arial"/>
                <w:color w:val="595959" w:themeColor="text1" w:themeTint="A6"/>
              </w:rPr>
              <w:lastRenderedPageBreak/>
              <w:t xml:space="preserve">bail, plus rien au renouvellement. </w:t>
            </w:r>
          </w:p>
        </w:tc>
      </w:tr>
      <w:tr w:rsidR="00660C1F" w:rsidRPr="00A977E7" w14:paraId="1953A603" w14:textId="77777777" w:rsidTr="00660C1F">
        <w:trPr>
          <w:trHeight w:val="340"/>
        </w:trPr>
        <w:tc>
          <w:tcPr>
            <w:tcW w:w="3034" w:type="dxa"/>
            <w:vAlign w:val="center"/>
          </w:tcPr>
          <w:p w14:paraId="7F08B44F"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lastRenderedPageBreak/>
              <w:t xml:space="preserve">Réparations et maintenance </w:t>
            </w:r>
          </w:p>
        </w:tc>
        <w:tc>
          <w:tcPr>
            <w:tcW w:w="6662" w:type="dxa"/>
            <w:vAlign w:val="center"/>
          </w:tcPr>
          <w:p w14:paraId="0BFA386F"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Obligation du propriétaire d’assurer la maintenance des parties communes, de l’extérieur et de la structure, et des constructions et machines liées au bâtiment. Les défauts inhérents doivent également être de la responsabilité du propriétaire. Limiter les obligations du locataire à l’intérieur du bien loué. </w:t>
            </w:r>
          </w:p>
        </w:tc>
      </w:tr>
    </w:tbl>
    <w:p w14:paraId="39147098" w14:textId="77777777" w:rsidR="00A977E7" w:rsidRDefault="00A977E7" w:rsidP="00660C1F"/>
    <w:tbl>
      <w:tblPr>
        <w:tblStyle w:val="TableGrid"/>
        <w:tblW w:w="969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113" w:type="dxa"/>
          <w:left w:w="57" w:type="dxa"/>
          <w:bottom w:w="113" w:type="dxa"/>
          <w:right w:w="113" w:type="dxa"/>
        </w:tblCellMar>
        <w:tblLook w:val="04A0" w:firstRow="1" w:lastRow="0" w:firstColumn="1" w:lastColumn="0" w:noHBand="0" w:noVBand="1"/>
      </w:tblPr>
      <w:tblGrid>
        <w:gridCol w:w="3034"/>
        <w:gridCol w:w="6662"/>
      </w:tblGrid>
      <w:tr w:rsidR="00660C1F" w:rsidRPr="00A977E7" w14:paraId="1F5B2FB0" w14:textId="77777777" w:rsidTr="00660C1F">
        <w:trPr>
          <w:trHeight w:val="340"/>
        </w:trPr>
        <w:tc>
          <w:tcPr>
            <w:tcW w:w="3034" w:type="dxa"/>
            <w:vAlign w:val="center"/>
          </w:tcPr>
          <w:p w14:paraId="60305733"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Dégâts causés au bien </w:t>
            </w:r>
          </w:p>
        </w:tc>
        <w:tc>
          <w:tcPr>
            <w:tcW w:w="6662" w:type="dxa"/>
            <w:vAlign w:val="center"/>
          </w:tcPr>
          <w:p w14:paraId="398E3384"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Clause donnant au locataire le droit de prétendre à une réduction du loyer et des frais de service si le bien est endommagé ou détruit, et pendant les réparations. Clause supplémentaire donnant au locataire le droit de résilier le bail si le bien reste impropre à l’usage pendant une longue période puis de recouvrer ses éventuels paiements anticipés. </w:t>
            </w:r>
          </w:p>
        </w:tc>
      </w:tr>
      <w:tr w:rsidR="00660C1F" w:rsidRPr="00A977E7" w14:paraId="7D917237" w14:textId="77777777" w:rsidTr="00660C1F">
        <w:trPr>
          <w:trHeight w:val="340"/>
        </w:trPr>
        <w:tc>
          <w:tcPr>
            <w:tcW w:w="3034" w:type="dxa"/>
            <w:vAlign w:val="center"/>
          </w:tcPr>
          <w:p w14:paraId="08413986"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Assurance </w:t>
            </w:r>
          </w:p>
        </w:tc>
        <w:tc>
          <w:tcPr>
            <w:tcW w:w="6662" w:type="dxa"/>
            <w:vAlign w:val="center"/>
          </w:tcPr>
          <w:p w14:paraId="49488134"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Le propriétaire se doit d’assurer le bien et de présenter un certificat d’assurance. </w:t>
            </w:r>
          </w:p>
        </w:tc>
      </w:tr>
      <w:tr w:rsidR="00660C1F" w:rsidRPr="00A977E7" w14:paraId="5E69B9DF" w14:textId="77777777" w:rsidTr="00660C1F">
        <w:trPr>
          <w:trHeight w:val="340"/>
        </w:trPr>
        <w:tc>
          <w:tcPr>
            <w:tcW w:w="3034" w:type="dxa"/>
            <w:vAlign w:val="center"/>
          </w:tcPr>
          <w:p w14:paraId="4FD7AF60"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Utilisateur et droits </w:t>
            </w:r>
          </w:p>
        </w:tc>
        <w:tc>
          <w:tcPr>
            <w:tcW w:w="6662" w:type="dxa"/>
            <w:vAlign w:val="center"/>
          </w:tcPr>
          <w:p w14:paraId="206FD868"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Clause s’appliquant à l’utilisateur qui autorise le locataire à mener des activités pertinentes. Y préciser tous les droits supplémentaires requis par le locataire, par exemple installation d’une antenne parabolique ou d’équipement de télécommunication, accès à un espace de stockage à distance, etc. Inclure les modifications requises, par exemple installation d’un système de climatisation, amélioration des serrures des portes d’accès, etc., et préciser dans quel état le bâtiment devra être laissé. </w:t>
            </w:r>
          </w:p>
          <w:p w14:paraId="7DCDE226"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Indique également si une modification de l’aspect extérieur (par exemple hauteur des murs d’enceinte) est permise. </w:t>
            </w:r>
          </w:p>
        </w:tc>
      </w:tr>
      <w:tr w:rsidR="00660C1F" w:rsidRPr="00A977E7" w14:paraId="63686075" w14:textId="77777777" w:rsidTr="00660C1F">
        <w:trPr>
          <w:trHeight w:val="340"/>
        </w:trPr>
        <w:tc>
          <w:tcPr>
            <w:tcW w:w="3034" w:type="dxa"/>
            <w:vAlign w:val="center"/>
          </w:tcPr>
          <w:p w14:paraId="190C99C6"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Sous-location / Affectation </w:t>
            </w:r>
          </w:p>
        </w:tc>
        <w:tc>
          <w:tcPr>
            <w:tcW w:w="6662" w:type="dxa"/>
            <w:vAlign w:val="center"/>
          </w:tcPr>
          <w:p w14:paraId="1373FAC7"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Droit à affecter ou partager un bien avec une filiale ou une entité connexe, sans avoir besoin de l’accord du propriétaire. Droit à sous-louer une partie ou la totalité du bien à des tierces parties (avec l’accord du propriétaire qui ne peut pas être refusé ou retardé sans motif valable). En cas d’espace sous- loué, la location ne pourra faire l’objet d’aucune restriction déraisonnable de la part du propriétaire. </w:t>
            </w:r>
          </w:p>
        </w:tc>
      </w:tr>
      <w:tr w:rsidR="00660C1F" w:rsidRPr="00A977E7" w14:paraId="5DBC31F8" w14:textId="77777777" w:rsidTr="00660C1F">
        <w:trPr>
          <w:trHeight w:val="340"/>
        </w:trPr>
        <w:tc>
          <w:tcPr>
            <w:tcW w:w="3034" w:type="dxa"/>
            <w:vAlign w:val="center"/>
          </w:tcPr>
          <w:p w14:paraId="3649633D"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Accès et sécurité </w:t>
            </w:r>
          </w:p>
        </w:tc>
        <w:tc>
          <w:tcPr>
            <w:tcW w:w="6662" w:type="dxa"/>
            <w:vAlign w:val="center"/>
          </w:tcPr>
          <w:p w14:paraId="3870E2DE"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Droits clairs relatifs à l’accès au bien 24 heures/24 et 7 jours/7. Il peut également être nécessaire de préciser le droit connexe à maintenir le bien sécurisé selon les mêmes modalités. </w:t>
            </w:r>
          </w:p>
        </w:tc>
      </w:tr>
      <w:tr w:rsidR="00660C1F" w:rsidRPr="00A977E7" w14:paraId="0313BC68" w14:textId="77777777" w:rsidTr="00660C1F">
        <w:trPr>
          <w:trHeight w:val="340"/>
        </w:trPr>
        <w:tc>
          <w:tcPr>
            <w:tcW w:w="3034" w:type="dxa"/>
            <w:vAlign w:val="center"/>
          </w:tcPr>
          <w:p w14:paraId="17D5D056"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État du bien lors de la remise </w:t>
            </w:r>
          </w:p>
        </w:tc>
        <w:tc>
          <w:tcPr>
            <w:tcW w:w="6662" w:type="dxa"/>
            <w:vAlign w:val="center"/>
          </w:tcPr>
          <w:p w14:paraId="00A63389"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Déclaration claire de la manière dont le propriétaire remettra le bien ; par exemple, espace décloisonné ou entièrement aménagé. </w:t>
            </w:r>
          </w:p>
        </w:tc>
      </w:tr>
      <w:tr w:rsidR="00660C1F" w:rsidRPr="00A977E7" w14:paraId="63B6F429" w14:textId="77777777" w:rsidTr="00660C1F">
        <w:trPr>
          <w:trHeight w:val="340"/>
        </w:trPr>
        <w:tc>
          <w:tcPr>
            <w:tcW w:w="3034" w:type="dxa"/>
            <w:vAlign w:val="center"/>
          </w:tcPr>
          <w:p w14:paraId="272F86A6"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Aménagement initial </w:t>
            </w:r>
          </w:p>
        </w:tc>
        <w:tc>
          <w:tcPr>
            <w:tcW w:w="6662" w:type="dxa"/>
            <w:vAlign w:val="center"/>
          </w:tcPr>
          <w:p w14:paraId="654D5B5D"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Dispositions claires quant à l’aménagement initial du bien. Celles-ci devront identifier l’entité chargée des travaux </w:t>
            </w:r>
            <w:r w:rsidRPr="0005645C">
              <w:rPr>
                <w:rFonts w:ascii="Arial" w:hAnsi="Arial" w:cs="Arial"/>
                <w:color w:val="595959" w:themeColor="text1" w:themeTint="A6"/>
              </w:rPr>
              <w:lastRenderedPageBreak/>
              <w:t xml:space="preserve">d’aménagement (locataire, propriétaire ou tiers), indiquer qui paie ces travaux, qui détient le droit de supervision et de contrôle et quel est l’échéancier. Des plans et détails appropriés devront être joints au bail. Le propriétaire devra clairement donner son accord pour ces travaux à la signature du bail. </w:t>
            </w:r>
          </w:p>
        </w:tc>
      </w:tr>
      <w:tr w:rsidR="00660C1F" w:rsidRPr="00A977E7" w14:paraId="610CCE43" w14:textId="77777777" w:rsidTr="00660C1F">
        <w:trPr>
          <w:trHeight w:val="340"/>
        </w:trPr>
        <w:tc>
          <w:tcPr>
            <w:tcW w:w="3034" w:type="dxa"/>
            <w:vAlign w:val="center"/>
          </w:tcPr>
          <w:p w14:paraId="7CC1A44E"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lastRenderedPageBreak/>
              <w:t xml:space="preserve">Modifications permanentes </w:t>
            </w:r>
          </w:p>
        </w:tc>
        <w:tc>
          <w:tcPr>
            <w:tcW w:w="6662" w:type="dxa"/>
            <w:vAlign w:val="center"/>
          </w:tcPr>
          <w:p w14:paraId="2BC93541"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Pendant la durée du bail, droit du locataire à apporter des modifications non structurelles sans l’accord du propriétaire et des modifications structurelles sous réserve de l’accord du propriétaire qui ne peut pas être refusé ou retardé sans motif valable. </w:t>
            </w:r>
          </w:p>
        </w:tc>
      </w:tr>
      <w:tr w:rsidR="00660C1F" w:rsidRPr="00A977E7" w14:paraId="5B997A4A" w14:textId="77777777" w:rsidTr="00660C1F">
        <w:trPr>
          <w:trHeight w:val="340"/>
        </w:trPr>
        <w:tc>
          <w:tcPr>
            <w:tcW w:w="3034" w:type="dxa"/>
            <w:vAlign w:val="center"/>
          </w:tcPr>
          <w:p w14:paraId="4351BD67"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b/>
                <w:bCs/>
                <w:color w:val="595959" w:themeColor="text1" w:themeTint="A6"/>
              </w:rPr>
              <w:t xml:space="preserve">Signalisation </w:t>
            </w:r>
          </w:p>
        </w:tc>
        <w:tc>
          <w:tcPr>
            <w:tcW w:w="6662" w:type="dxa"/>
            <w:vAlign w:val="center"/>
          </w:tcPr>
          <w:p w14:paraId="31DBE2D3" w14:textId="77777777" w:rsidR="00660C1F" w:rsidRPr="0005645C" w:rsidRDefault="00660C1F" w:rsidP="00660C1F">
            <w:pPr>
              <w:widowControl w:val="0"/>
              <w:autoSpaceDE w:val="0"/>
              <w:autoSpaceDN w:val="0"/>
              <w:adjustRightInd w:val="0"/>
              <w:rPr>
                <w:rFonts w:ascii="Arial" w:hAnsi="Arial" w:cs="Arial"/>
                <w:color w:val="595959" w:themeColor="text1" w:themeTint="A6"/>
              </w:rPr>
            </w:pPr>
            <w:r w:rsidRPr="0005645C">
              <w:rPr>
                <w:rFonts w:ascii="Arial" w:hAnsi="Arial" w:cs="Arial"/>
                <w:color w:val="595959" w:themeColor="text1" w:themeTint="A6"/>
              </w:rPr>
              <w:t xml:space="preserve">Droits clairs relatifs à la signalisation. </w:t>
            </w:r>
          </w:p>
        </w:tc>
      </w:tr>
    </w:tbl>
    <w:p w14:paraId="29F54738" w14:textId="77777777" w:rsidR="002C11E9" w:rsidRPr="002A1794" w:rsidRDefault="002C11E9" w:rsidP="00660C1F">
      <w:pPr>
        <w:rPr>
          <w:rFonts w:ascii="Arial" w:hAnsi="Arial" w:cs="Arial"/>
          <w:color w:val="595959" w:themeColor="text1" w:themeTint="A6"/>
          <w:sz w:val="22"/>
          <w:szCs w:val="22"/>
        </w:rPr>
      </w:pPr>
    </w:p>
    <w:sectPr w:rsidR="002C11E9" w:rsidRPr="002A1794" w:rsidSect="00A977E7">
      <w:headerReference w:type="even" r:id="rId9"/>
      <w:headerReference w:type="default" r:id="rId10"/>
      <w:footerReference w:type="even" r:id="rId11"/>
      <w:footerReference w:type="default" r:id="rId12"/>
      <w:headerReference w:type="first" r:id="rId13"/>
      <w:footerReference w:type="first" r:id="rId14"/>
      <w:pgSz w:w="11899" w:h="16838"/>
      <w:pgMar w:top="1440" w:right="1080" w:bottom="993" w:left="1080" w:header="709" w:footer="306"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044AA" w14:textId="77777777" w:rsidR="00C02342" w:rsidRDefault="00C02342">
      <w:r>
        <w:separator/>
      </w:r>
    </w:p>
  </w:endnote>
  <w:endnote w:type="continuationSeparator" w:id="0">
    <w:p w14:paraId="0FD244F9" w14:textId="77777777" w:rsidR="00C02342" w:rsidRDefault="00C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2679"/>
      <w:docPartObj>
        <w:docPartGallery w:val="Page Numbers (Bottom of Page)"/>
        <w:docPartUnique/>
      </w:docPartObj>
    </w:sdtPr>
    <w:sdtEndPr>
      <w:rPr>
        <w:rFonts w:ascii="Arial" w:hAnsi="Arial" w:cs="Arial"/>
        <w:color w:val="595959" w:themeColor="text1" w:themeTint="A6"/>
        <w:sz w:val="22"/>
        <w:szCs w:val="22"/>
      </w:rPr>
    </w:sdtEndPr>
    <w:sdtContent>
      <w:sdt>
        <w:sdtPr>
          <w:rPr>
            <w:rFonts w:ascii="Arial" w:hAnsi="Arial" w:cs="Arial"/>
            <w:color w:val="595959" w:themeColor="text1" w:themeTint="A6"/>
            <w:sz w:val="22"/>
            <w:szCs w:val="22"/>
          </w:rPr>
          <w:id w:val="-2072950837"/>
          <w:docPartObj>
            <w:docPartGallery w:val="Page Numbers (Top of Page)"/>
            <w:docPartUnique/>
          </w:docPartObj>
        </w:sdtPr>
        <w:sdtEndPr/>
        <w:sdtContent>
          <w:p w14:paraId="463F58DE" w14:textId="77777777" w:rsidR="00845C58" w:rsidRPr="004B7D7D" w:rsidRDefault="00660C1F" w:rsidP="004B7D7D">
            <w:pPr>
              <w:pStyle w:val="Footer"/>
              <w:tabs>
                <w:tab w:val="clear" w:pos="8640"/>
                <w:tab w:val="right" w:pos="9639"/>
              </w:tabs>
              <w:rPr>
                <w:rFonts w:ascii="Arial" w:hAnsi="Arial" w:cs="Arial"/>
                <w:color w:val="595959" w:themeColor="text1" w:themeTint="A6"/>
                <w:sz w:val="22"/>
                <w:szCs w:val="22"/>
              </w:rPr>
            </w:pPr>
            <w:r>
              <w:rPr>
                <w:rFonts w:ascii="Arial" w:hAnsi="Arial" w:cs="Arial"/>
                <w:i/>
                <w:color w:val="595959" w:themeColor="text1" w:themeTint="A6"/>
                <w:sz w:val="22"/>
                <w:szCs w:val="22"/>
              </w:rPr>
              <w:t>B</w:t>
            </w:r>
            <w:r w:rsidRPr="00D33080">
              <w:rPr>
                <w:rFonts w:ascii="Arial" w:hAnsi="Arial" w:cs="Arial"/>
                <w:i/>
                <w:color w:val="595959" w:themeColor="text1" w:themeTint="A6"/>
                <w:sz w:val="22"/>
                <w:szCs w:val="22"/>
              </w:rPr>
              <w:t xml:space="preserve">asée sur le material disponible sur le site </w:t>
            </w:r>
            <w:hyperlink r:id="rId1" w:history="1">
              <w:r w:rsidRPr="00D33080">
                <w:rPr>
                  <w:rStyle w:val="Hyperlink"/>
                  <w:rFonts w:ascii="Arial" w:hAnsi="Arial" w:cs="Arial"/>
                  <w:i/>
                  <w:color w:val="595959" w:themeColor="text1" w:themeTint="A6"/>
                  <w:sz w:val="22"/>
                  <w:szCs w:val="22"/>
                  <w:u w:val="none"/>
                </w:rPr>
                <w:t>www.eisf.eu</w:t>
              </w:r>
            </w:hyperlink>
            <w:r w:rsidR="004B7D7D" w:rsidRPr="004B7D7D">
              <w:rPr>
                <w:rFonts w:ascii="Arial" w:hAnsi="Arial" w:cs="Arial"/>
                <w:i/>
                <w:iCs/>
                <w:color w:val="595959" w:themeColor="text1" w:themeTint="A6"/>
                <w:sz w:val="22"/>
                <w:szCs w:val="22"/>
              </w:rPr>
              <w:tab/>
            </w:r>
            <w:r w:rsidR="00845C58" w:rsidRPr="004B7D7D">
              <w:rPr>
                <w:rFonts w:ascii="Arial" w:hAnsi="Arial" w:cs="Arial"/>
                <w:color w:val="595959" w:themeColor="text1" w:themeTint="A6"/>
                <w:sz w:val="22"/>
                <w:szCs w:val="22"/>
              </w:rPr>
              <w:t xml:space="preserve">Page </w:t>
            </w:r>
            <w:r w:rsidR="00845C58" w:rsidRPr="004B7D7D">
              <w:rPr>
                <w:rFonts w:ascii="Arial" w:hAnsi="Arial" w:cs="Arial"/>
                <w:bCs/>
                <w:color w:val="595959" w:themeColor="text1" w:themeTint="A6"/>
                <w:sz w:val="22"/>
                <w:szCs w:val="22"/>
              </w:rPr>
              <w:fldChar w:fldCharType="begin"/>
            </w:r>
            <w:r w:rsidR="00845C58" w:rsidRPr="004B7D7D">
              <w:rPr>
                <w:rFonts w:ascii="Arial" w:hAnsi="Arial" w:cs="Arial"/>
                <w:bCs/>
                <w:color w:val="595959" w:themeColor="text1" w:themeTint="A6"/>
                <w:sz w:val="22"/>
                <w:szCs w:val="22"/>
              </w:rPr>
              <w:instrText xml:space="preserve"> PAGE </w:instrText>
            </w:r>
            <w:r w:rsidR="00845C58" w:rsidRPr="004B7D7D">
              <w:rPr>
                <w:rFonts w:ascii="Arial" w:hAnsi="Arial" w:cs="Arial"/>
                <w:bCs/>
                <w:color w:val="595959" w:themeColor="text1" w:themeTint="A6"/>
                <w:sz w:val="22"/>
                <w:szCs w:val="22"/>
              </w:rPr>
              <w:fldChar w:fldCharType="separate"/>
            </w:r>
            <w:r>
              <w:rPr>
                <w:rFonts w:ascii="Arial" w:hAnsi="Arial" w:cs="Arial"/>
                <w:bCs/>
                <w:noProof/>
                <w:color w:val="595959" w:themeColor="text1" w:themeTint="A6"/>
                <w:sz w:val="22"/>
                <w:szCs w:val="22"/>
              </w:rPr>
              <w:t>4</w:t>
            </w:r>
            <w:r w:rsidR="00845C58" w:rsidRPr="004B7D7D">
              <w:rPr>
                <w:rFonts w:ascii="Arial" w:hAnsi="Arial" w:cs="Arial"/>
                <w:bCs/>
                <w:color w:val="595959" w:themeColor="text1" w:themeTint="A6"/>
                <w:sz w:val="22"/>
                <w:szCs w:val="22"/>
              </w:rPr>
              <w:fldChar w:fldCharType="end"/>
            </w:r>
            <w:r w:rsidR="00845C58" w:rsidRPr="004B7D7D">
              <w:rPr>
                <w:rFonts w:ascii="Arial" w:hAnsi="Arial" w:cs="Arial"/>
                <w:color w:val="595959" w:themeColor="text1" w:themeTint="A6"/>
                <w:sz w:val="22"/>
                <w:szCs w:val="22"/>
              </w:rPr>
              <w:t xml:space="preserve"> </w:t>
            </w:r>
            <w:r>
              <w:rPr>
                <w:rFonts w:ascii="Arial" w:hAnsi="Arial" w:cs="Arial"/>
                <w:color w:val="595959" w:themeColor="text1" w:themeTint="A6"/>
                <w:sz w:val="22"/>
                <w:szCs w:val="22"/>
              </w:rPr>
              <w:t>de</w:t>
            </w:r>
            <w:r w:rsidR="00845C58" w:rsidRPr="004B7D7D">
              <w:rPr>
                <w:rFonts w:ascii="Arial" w:hAnsi="Arial" w:cs="Arial"/>
                <w:color w:val="595959" w:themeColor="text1" w:themeTint="A6"/>
                <w:sz w:val="22"/>
                <w:szCs w:val="22"/>
              </w:rPr>
              <w:t xml:space="preserve"> </w:t>
            </w:r>
            <w:r w:rsidR="00845C58" w:rsidRPr="004B7D7D">
              <w:rPr>
                <w:rFonts w:ascii="Arial" w:hAnsi="Arial" w:cs="Arial"/>
                <w:bCs/>
                <w:color w:val="595959" w:themeColor="text1" w:themeTint="A6"/>
                <w:sz w:val="22"/>
                <w:szCs w:val="22"/>
              </w:rPr>
              <w:fldChar w:fldCharType="begin"/>
            </w:r>
            <w:r w:rsidR="00845C58" w:rsidRPr="004B7D7D">
              <w:rPr>
                <w:rFonts w:ascii="Arial" w:hAnsi="Arial" w:cs="Arial"/>
                <w:bCs/>
                <w:color w:val="595959" w:themeColor="text1" w:themeTint="A6"/>
                <w:sz w:val="22"/>
                <w:szCs w:val="22"/>
              </w:rPr>
              <w:instrText xml:space="preserve"> NUMPAGES  </w:instrText>
            </w:r>
            <w:r w:rsidR="00845C58" w:rsidRPr="004B7D7D">
              <w:rPr>
                <w:rFonts w:ascii="Arial" w:hAnsi="Arial" w:cs="Arial"/>
                <w:bCs/>
                <w:color w:val="595959" w:themeColor="text1" w:themeTint="A6"/>
                <w:sz w:val="22"/>
                <w:szCs w:val="22"/>
              </w:rPr>
              <w:fldChar w:fldCharType="separate"/>
            </w:r>
            <w:r>
              <w:rPr>
                <w:rFonts w:ascii="Arial" w:hAnsi="Arial" w:cs="Arial"/>
                <w:bCs/>
                <w:noProof/>
                <w:color w:val="595959" w:themeColor="text1" w:themeTint="A6"/>
                <w:sz w:val="22"/>
                <w:szCs w:val="22"/>
              </w:rPr>
              <w:t>4</w:t>
            </w:r>
            <w:r w:rsidR="00845C58" w:rsidRPr="004B7D7D">
              <w:rPr>
                <w:rFonts w:ascii="Arial" w:hAnsi="Arial" w:cs="Arial"/>
                <w:bCs/>
                <w:color w:val="595959" w:themeColor="text1" w:themeTint="A6"/>
                <w:sz w:val="22"/>
                <w:szCs w:val="22"/>
              </w:rPr>
              <w:fldChar w:fldCharType="end"/>
            </w:r>
          </w:p>
        </w:sdtContent>
      </w:sdt>
    </w:sdtContent>
  </w:sdt>
  <w:p w14:paraId="07411B70" w14:textId="77777777" w:rsidR="00845C58" w:rsidRPr="004B7D7D" w:rsidRDefault="00845C58">
    <w:pPr>
      <w:pStyle w:val="Footer"/>
      <w:rPr>
        <w:rFonts w:ascii="Arial" w:hAnsi="Arial" w:cs="Arial"/>
        <w:color w:val="595959" w:themeColor="text1" w:themeTint="A6"/>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6439"/>
      <w:docPartObj>
        <w:docPartGallery w:val="Page Numbers (Bottom of Page)"/>
        <w:docPartUnique/>
      </w:docPartObj>
    </w:sdtPr>
    <w:sdtEndPr>
      <w:rPr>
        <w:rFonts w:ascii="Arial" w:hAnsi="Arial" w:cs="Arial"/>
        <w:color w:val="595959" w:themeColor="text1" w:themeTint="A6"/>
        <w:sz w:val="22"/>
        <w:szCs w:val="22"/>
      </w:rPr>
    </w:sdtEndPr>
    <w:sdtContent>
      <w:sdt>
        <w:sdtPr>
          <w:rPr>
            <w:rFonts w:ascii="Arial" w:hAnsi="Arial" w:cs="Arial"/>
            <w:color w:val="595959" w:themeColor="text1" w:themeTint="A6"/>
            <w:sz w:val="22"/>
            <w:szCs w:val="22"/>
          </w:rPr>
          <w:id w:val="974873988"/>
          <w:docPartObj>
            <w:docPartGallery w:val="Page Numbers (Top of Page)"/>
            <w:docPartUnique/>
          </w:docPartObj>
        </w:sdtPr>
        <w:sdtEndPr/>
        <w:sdtContent>
          <w:p w14:paraId="3BF3CACD" w14:textId="77777777" w:rsidR="00C80763" w:rsidRPr="004B7D7D" w:rsidRDefault="00660C1F" w:rsidP="00C80763">
            <w:pPr>
              <w:pStyle w:val="Footer"/>
              <w:tabs>
                <w:tab w:val="clear" w:pos="8640"/>
                <w:tab w:val="right" w:pos="9639"/>
              </w:tabs>
              <w:rPr>
                <w:rFonts w:ascii="Arial" w:hAnsi="Arial" w:cs="Arial"/>
                <w:color w:val="595959" w:themeColor="text1" w:themeTint="A6"/>
                <w:sz w:val="22"/>
                <w:szCs w:val="22"/>
              </w:rPr>
            </w:pPr>
            <w:r>
              <w:rPr>
                <w:rFonts w:ascii="Arial" w:hAnsi="Arial" w:cs="Arial"/>
                <w:i/>
                <w:color w:val="595959" w:themeColor="text1" w:themeTint="A6"/>
                <w:sz w:val="22"/>
                <w:szCs w:val="22"/>
              </w:rPr>
              <w:t>B</w:t>
            </w:r>
            <w:r w:rsidRPr="00D33080">
              <w:rPr>
                <w:rFonts w:ascii="Arial" w:hAnsi="Arial" w:cs="Arial"/>
                <w:i/>
                <w:color w:val="595959" w:themeColor="text1" w:themeTint="A6"/>
                <w:sz w:val="22"/>
                <w:szCs w:val="22"/>
              </w:rPr>
              <w:t xml:space="preserve">asée sur le material disponible sur le site </w:t>
            </w:r>
            <w:hyperlink r:id="rId1" w:history="1">
              <w:r w:rsidRPr="00D33080">
                <w:rPr>
                  <w:rStyle w:val="Hyperlink"/>
                  <w:rFonts w:ascii="Arial" w:hAnsi="Arial" w:cs="Arial"/>
                  <w:i/>
                  <w:color w:val="595959" w:themeColor="text1" w:themeTint="A6"/>
                  <w:sz w:val="22"/>
                  <w:szCs w:val="22"/>
                  <w:u w:val="none"/>
                </w:rPr>
                <w:t>www.eisf.eu</w:t>
              </w:r>
            </w:hyperlink>
            <w:r w:rsidR="00C80763" w:rsidRPr="004B7D7D">
              <w:rPr>
                <w:rFonts w:ascii="Arial" w:hAnsi="Arial" w:cs="Arial"/>
                <w:i/>
                <w:iCs/>
                <w:color w:val="595959" w:themeColor="text1" w:themeTint="A6"/>
                <w:sz w:val="22"/>
                <w:szCs w:val="22"/>
              </w:rPr>
              <w:tab/>
            </w:r>
            <w:r w:rsidR="00C80763" w:rsidRPr="004B7D7D">
              <w:rPr>
                <w:rFonts w:ascii="Arial" w:hAnsi="Arial" w:cs="Arial"/>
                <w:color w:val="595959" w:themeColor="text1" w:themeTint="A6"/>
                <w:sz w:val="22"/>
                <w:szCs w:val="22"/>
              </w:rPr>
              <w:t xml:space="preserve">Page </w:t>
            </w:r>
            <w:r w:rsidR="00C80763" w:rsidRPr="004B7D7D">
              <w:rPr>
                <w:rFonts w:ascii="Arial" w:hAnsi="Arial" w:cs="Arial"/>
                <w:bCs/>
                <w:color w:val="595959" w:themeColor="text1" w:themeTint="A6"/>
                <w:sz w:val="22"/>
                <w:szCs w:val="22"/>
              </w:rPr>
              <w:fldChar w:fldCharType="begin"/>
            </w:r>
            <w:r w:rsidR="00C80763" w:rsidRPr="004B7D7D">
              <w:rPr>
                <w:rFonts w:ascii="Arial" w:hAnsi="Arial" w:cs="Arial"/>
                <w:bCs/>
                <w:color w:val="595959" w:themeColor="text1" w:themeTint="A6"/>
                <w:sz w:val="22"/>
                <w:szCs w:val="22"/>
              </w:rPr>
              <w:instrText xml:space="preserve"> PAGE </w:instrText>
            </w:r>
            <w:r w:rsidR="00C80763" w:rsidRPr="004B7D7D">
              <w:rPr>
                <w:rFonts w:ascii="Arial" w:hAnsi="Arial" w:cs="Arial"/>
                <w:bCs/>
                <w:color w:val="595959" w:themeColor="text1" w:themeTint="A6"/>
                <w:sz w:val="22"/>
                <w:szCs w:val="22"/>
              </w:rPr>
              <w:fldChar w:fldCharType="separate"/>
            </w:r>
            <w:r>
              <w:rPr>
                <w:rFonts w:ascii="Arial" w:hAnsi="Arial" w:cs="Arial"/>
                <w:bCs/>
                <w:noProof/>
                <w:color w:val="595959" w:themeColor="text1" w:themeTint="A6"/>
                <w:sz w:val="22"/>
                <w:szCs w:val="22"/>
              </w:rPr>
              <w:t>3</w:t>
            </w:r>
            <w:r w:rsidR="00C80763" w:rsidRPr="004B7D7D">
              <w:rPr>
                <w:rFonts w:ascii="Arial" w:hAnsi="Arial" w:cs="Arial"/>
                <w:bCs/>
                <w:color w:val="595959" w:themeColor="text1" w:themeTint="A6"/>
                <w:sz w:val="22"/>
                <w:szCs w:val="22"/>
              </w:rPr>
              <w:fldChar w:fldCharType="end"/>
            </w:r>
            <w:r w:rsidR="00C80763" w:rsidRPr="004B7D7D">
              <w:rPr>
                <w:rFonts w:ascii="Arial" w:hAnsi="Arial" w:cs="Arial"/>
                <w:color w:val="595959" w:themeColor="text1" w:themeTint="A6"/>
                <w:sz w:val="22"/>
                <w:szCs w:val="22"/>
              </w:rPr>
              <w:t xml:space="preserve"> </w:t>
            </w:r>
            <w:r>
              <w:rPr>
                <w:rFonts w:ascii="Arial" w:hAnsi="Arial" w:cs="Arial"/>
                <w:color w:val="595959" w:themeColor="text1" w:themeTint="A6"/>
                <w:sz w:val="22"/>
                <w:szCs w:val="22"/>
              </w:rPr>
              <w:t>de</w:t>
            </w:r>
            <w:r w:rsidR="00C80763" w:rsidRPr="004B7D7D">
              <w:rPr>
                <w:rFonts w:ascii="Arial" w:hAnsi="Arial" w:cs="Arial"/>
                <w:color w:val="595959" w:themeColor="text1" w:themeTint="A6"/>
                <w:sz w:val="22"/>
                <w:szCs w:val="22"/>
              </w:rPr>
              <w:t xml:space="preserve"> </w:t>
            </w:r>
            <w:r w:rsidR="00C80763" w:rsidRPr="004B7D7D">
              <w:rPr>
                <w:rFonts w:ascii="Arial" w:hAnsi="Arial" w:cs="Arial"/>
                <w:bCs/>
                <w:color w:val="595959" w:themeColor="text1" w:themeTint="A6"/>
                <w:sz w:val="22"/>
                <w:szCs w:val="22"/>
              </w:rPr>
              <w:fldChar w:fldCharType="begin"/>
            </w:r>
            <w:r w:rsidR="00C80763" w:rsidRPr="004B7D7D">
              <w:rPr>
                <w:rFonts w:ascii="Arial" w:hAnsi="Arial" w:cs="Arial"/>
                <w:bCs/>
                <w:color w:val="595959" w:themeColor="text1" w:themeTint="A6"/>
                <w:sz w:val="22"/>
                <w:szCs w:val="22"/>
              </w:rPr>
              <w:instrText xml:space="preserve"> NUMPAGES  </w:instrText>
            </w:r>
            <w:r w:rsidR="00C80763" w:rsidRPr="004B7D7D">
              <w:rPr>
                <w:rFonts w:ascii="Arial" w:hAnsi="Arial" w:cs="Arial"/>
                <w:bCs/>
                <w:color w:val="595959" w:themeColor="text1" w:themeTint="A6"/>
                <w:sz w:val="22"/>
                <w:szCs w:val="22"/>
              </w:rPr>
              <w:fldChar w:fldCharType="separate"/>
            </w:r>
            <w:r>
              <w:rPr>
                <w:rFonts w:ascii="Arial" w:hAnsi="Arial" w:cs="Arial"/>
                <w:bCs/>
                <w:noProof/>
                <w:color w:val="595959" w:themeColor="text1" w:themeTint="A6"/>
                <w:sz w:val="22"/>
                <w:szCs w:val="22"/>
              </w:rPr>
              <w:t>4</w:t>
            </w:r>
            <w:r w:rsidR="00C80763" w:rsidRPr="004B7D7D">
              <w:rPr>
                <w:rFonts w:ascii="Arial" w:hAnsi="Arial" w:cs="Arial"/>
                <w:bCs/>
                <w:color w:val="595959" w:themeColor="text1" w:themeTint="A6"/>
                <w:sz w:val="22"/>
                <w:szCs w:val="22"/>
              </w:rPr>
              <w:fldChar w:fldCharType="end"/>
            </w:r>
          </w:p>
        </w:sdtContent>
      </w:sdt>
    </w:sdtContent>
  </w:sdt>
  <w:p w14:paraId="12B8016D" w14:textId="77777777" w:rsidR="00C80763" w:rsidRPr="004B7D7D" w:rsidRDefault="00C80763" w:rsidP="00C80763">
    <w:pPr>
      <w:pStyle w:val="Footer"/>
      <w:rPr>
        <w:rFonts w:ascii="Arial" w:hAnsi="Arial" w:cs="Arial"/>
        <w:color w:val="595959" w:themeColor="text1" w:themeTint="A6"/>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imes New Roman"/>
        <w:color w:val="7030A0"/>
        <w:sz w:val="20"/>
        <w:szCs w:val="20"/>
        <w:lang w:eastAsia="en-US"/>
      </w:rPr>
      <w:id w:val="-93629543"/>
      <w:docPartObj>
        <w:docPartGallery w:val="Page Numbers (Bottom of Page)"/>
        <w:docPartUnique/>
      </w:docPartObj>
    </w:sdtPr>
    <w:sdtEndPr>
      <w:rPr>
        <w:color w:val="595959" w:themeColor="text1" w:themeTint="A6"/>
        <w:sz w:val="22"/>
        <w:szCs w:val="22"/>
      </w:rPr>
    </w:sdtEndPr>
    <w:sdtContent>
      <w:sdt>
        <w:sdtPr>
          <w:rPr>
            <w:rFonts w:ascii="Cambria" w:hAnsi="Cambria" w:cs="Times New Roman"/>
            <w:color w:val="7030A0"/>
            <w:sz w:val="20"/>
            <w:szCs w:val="20"/>
            <w:lang w:eastAsia="en-US"/>
          </w:rPr>
          <w:id w:val="860082579"/>
          <w:docPartObj>
            <w:docPartGallery w:val="Page Numbers (Top of Page)"/>
            <w:docPartUnique/>
          </w:docPartObj>
        </w:sdtPr>
        <w:sdtEndPr>
          <w:rPr>
            <w:color w:val="595959" w:themeColor="text1" w:themeTint="A6"/>
            <w:sz w:val="22"/>
            <w:szCs w:val="22"/>
          </w:rPr>
        </w:sdtEndPr>
        <w:sdtContent>
          <w:p w14:paraId="3130015C" w14:textId="77777777" w:rsidR="00C66446" w:rsidRDefault="00C66446" w:rsidP="00C66446">
            <w:pPr>
              <w:pStyle w:val="Default"/>
            </w:pPr>
          </w:p>
          <w:p w14:paraId="19B0E716" w14:textId="77777777" w:rsidR="00845C58" w:rsidRPr="00B21E9F" w:rsidRDefault="00660C1F" w:rsidP="00C66446">
            <w:pPr>
              <w:pStyle w:val="Footer"/>
              <w:tabs>
                <w:tab w:val="clear" w:pos="8640"/>
                <w:tab w:val="right" w:pos="9639"/>
              </w:tabs>
              <w:rPr>
                <w:rFonts w:ascii="Arial" w:hAnsi="Arial" w:cs="Arial"/>
                <w:color w:val="595959" w:themeColor="text1" w:themeTint="A6"/>
                <w:sz w:val="22"/>
                <w:szCs w:val="22"/>
              </w:rPr>
            </w:pPr>
            <w:r>
              <w:rPr>
                <w:rFonts w:ascii="Arial" w:hAnsi="Arial" w:cs="Arial"/>
                <w:i/>
                <w:iCs/>
                <w:color w:val="595959" w:themeColor="text1" w:themeTint="A6"/>
                <w:sz w:val="22"/>
                <w:szCs w:val="22"/>
              </w:rPr>
              <w:t xml:space="preserve"> </w:t>
            </w:r>
            <w:r>
              <w:rPr>
                <w:rFonts w:ascii="Arial" w:hAnsi="Arial" w:cs="Arial"/>
                <w:i/>
                <w:color w:val="595959" w:themeColor="text1" w:themeTint="A6"/>
                <w:sz w:val="22"/>
                <w:szCs w:val="22"/>
              </w:rPr>
              <w:t>B</w:t>
            </w:r>
            <w:r w:rsidRPr="00D33080">
              <w:rPr>
                <w:rFonts w:ascii="Arial" w:hAnsi="Arial" w:cs="Arial"/>
                <w:i/>
                <w:color w:val="595959" w:themeColor="text1" w:themeTint="A6"/>
                <w:sz w:val="22"/>
                <w:szCs w:val="22"/>
              </w:rPr>
              <w:t xml:space="preserve">asée sur le material disponible sur le site </w:t>
            </w:r>
            <w:hyperlink r:id="rId1" w:history="1">
              <w:r w:rsidRPr="00D33080">
                <w:rPr>
                  <w:rStyle w:val="Hyperlink"/>
                  <w:rFonts w:ascii="Arial" w:hAnsi="Arial" w:cs="Arial"/>
                  <w:i/>
                  <w:color w:val="595959" w:themeColor="text1" w:themeTint="A6"/>
                  <w:sz w:val="22"/>
                  <w:szCs w:val="22"/>
                  <w:u w:val="none"/>
                </w:rPr>
                <w:t>www.eisf.eu</w:t>
              </w:r>
            </w:hyperlink>
            <w:r w:rsidR="00C66446" w:rsidRPr="00B21E9F">
              <w:rPr>
                <w:rFonts w:ascii="Arial" w:hAnsi="Arial" w:cs="Arial"/>
                <w:i/>
                <w:iCs/>
                <w:color w:val="595959" w:themeColor="text1" w:themeTint="A6"/>
                <w:sz w:val="22"/>
                <w:szCs w:val="22"/>
              </w:rPr>
              <w:tab/>
            </w:r>
            <w:r w:rsidR="00845C58" w:rsidRPr="00B21E9F">
              <w:rPr>
                <w:rFonts w:ascii="Arial" w:hAnsi="Arial" w:cs="Arial"/>
                <w:color w:val="595959" w:themeColor="text1" w:themeTint="A6"/>
                <w:sz w:val="22"/>
                <w:szCs w:val="22"/>
              </w:rPr>
              <w:t xml:space="preserve">Page </w:t>
            </w:r>
            <w:r w:rsidR="00845C58" w:rsidRPr="00B21E9F">
              <w:rPr>
                <w:rFonts w:ascii="Arial" w:hAnsi="Arial" w:cs="Arial"/>
                <w:bCs/>
                <w:color w:val="595959" w:themeColor="text1" w:themeTint="A6"/>
                <w:sz w:val="22"/>
                <w:szCs w:val="22"/>
              </w:rPr>
              <w:fldChar w:fldCharType="begin"/>
            </w:r>
            <w:r w:rsidR="00845C58" w:rsidRPr="00B21E9F">
              <w:rPr>
                <w:rFonts w:ascii="Arial" w:hAnsi="Arial" w:cs="Arial"/>
                <w:bCs/>
                <w:color w:val="595959" w:themeColor="text1" w:themeTint="A6"/>
                <w:sz w:val="22"/>
                <w:szCs w:val="22"/>
              </w:rPr>
              <w:instrText xml:space="preserve"> PAGE </w:instrText>
            </w:r>
            <w:r w:rsidR="00845C58" w:rsidRPr="00B21E9F">
              <w:rPr>
                <w:rFonts w:ascii="Arial" w:hAnsi="Arial" w:cs="Arial"/>
                <w:bCs/>
                <w:color w:val="595959" w:themeColor="text1" w:themeTint="A6"/>
                <w:sz w:val="22"/>
                <w:szCs w:val="22"/>
              </w:rPr>
              <w:fldChar w:fldCharType="separate"/>
            </w:r>
            <w:r>
              <w:rPr>
                <w:rFonts w:ascii="Arial" w:hAnsi="Arial" w:cs="Arial"/>
                <w:bCs/>
                <w:noProof/>
                <w:color w:val="595959" w:themeColor="text1" w:themeTint="A6"/>
                <w:sz w:val="22"/>
                <w:szCs w:val="22"/>
              </w:rPr>
              <w:t>1</w:t>
            </w:r>
            <w:r w:rsidR="00845C58" w:rsidRPr="00B21E9F">
              <w:rPr>
                <w:rFonts w:ascii="Arial" w:hAnsi="Arial" w:cs="Arial"/>
                <w:bCs/>
                <w:color w:val="595959" w:themeColor="text1" w:themeTint="A6"/>
                <w:sz w:val="22"/>
                <w:szCs w:val="22"/>
              </w:rPr>
              <w:fldChar w:fldCharType="end"/>
            </w:r>
            <w:r w:rsidR="00845C58" w:rsidRPr="00B21E9F">
              <w:rPr>
                <w:rFonts w:ascii="Arial" w:hAnsi="Arial" w:cs="Arial"/>
                <w:color w:val="595959" w:themeColor="text1" w:themeTint="A6"/>
                <w:sz w:val="22"/>
                <w:szCs w:val="22"/>
              </w:rPr>
              <w:t xml:space="preserve"> </w:t>
            </w:r>
            <w:r>
              <w:rPr>
                <w:rFonts w:ascii="Arial" w:hAnsi="Arial" w:cs="Arial"/>
                <w:color w:val="595959" w:themeColor="text1" w:themeTint="A6"/>
                <w:sz w:val="22"/>
                <w:szCs w:val="22"/>
              </w:rPr>
              <w:t>de</w:t>
            </w:r>
            <w:r w:rsidR="00845C58" w:rsidRPr="00B21E9F">
              <w:rPr>
                <w:rFonts w:ascii="Arial" w:hAnsi="Arial" w:cs="Arial"/>
                <w:color w:val="595959" w:themeColor="text1" w:themeTint="A6"/>
                <w:sz w:val="22"/>
                <w:szCs w:val="22"/>
              </w:rPr>
              <w:t xml:space="preserve"> </w:t>
            </w:r>
            <w:r w:rsidR="00845C58" w:rsidRPr="00B21E9F">
              <w:rPr>
                <w:rFonts w:ascii="Arial" w:hAnsi="Arial" w:cs="Arial"/>
                <w:bCs/>
                <w:color w:val="595959" w:themeColor="text1" w:themeTint="A6"/>
                <w:sz w:val="22"/>
                <w:szCs w:val="22"/>
              </w:rPr>
              <w:fldChar w:fldCharType="begin"/>
            </w:r>
            <w:r w:rsidR="00845C58" w:rsidRPr="00B21E9F">
              <w:rPr>
                <w:rFonts w:ascii="Arial" w:hAnsi="Arial" w:cs="Arial"/>
                <w:bCs/>
                <w:color w:val="595959" w:themeColor="text1" w:themeTint="A6"/>
                <w:sz w:val="22"/>
                <w:szCs w:val="22"/>
              </w:rPr>
              <w:instrText xml:space="preserve"> NUMPAGES  </w:instrText>
            </w:r>
            <w:r w:rsidR="00845C58" w:rsidRPr="00B21E9F">
              <w:rPr>
                <w:rFonts w:ascii="Arial" w:hAnsi="Arial" w:cs="Arial"/>
                <w:bCs/>
                <w:color w:val="595959" w:themeColor="text1" w:themeTint="A6"/>
                <w:sz w:val="22"/>
                <w:szCs w:val="22"/>
              </w:rPr>
              <w:fldChar w:fldCharType="separate"/>
            </w:r>
            <w:r>
              <w:rPr>
                <w:rFonts w:ascii="Arial" w:hAnsi="Arial" w:cs="Arial"/>
                <w:bCs/>
                <w:noProof/>
                <w:color w:val="595959" w:themeColor="text1" w:themeTint="A6"/>
                <w:sz w:val="22"/>
                <w:szCs w:val="22"/>
              </w:rPr>
              <w:t>4</w:t>
            </w:r>
            <w:r w:rsidR="00845C58" w:rsidRPr="00B21E9F">
              <w:rPr>
                <w:rFonts w:ascii="Arial" w:hAnsi="Arial" w:cs="Arial"/>
                <w:bCs/>
                <w:color w:val="595959" w:themeColor="text1" w:themeTint="A6"/>
                <w:sz w:val="22"/>
                <w:szCs w:val="22"/>
              </w:rPr>
              <w:fldChar w:fldCharType="end"/>
            </w:r>
          </w:p>
        </w:sdtContent>
      </w:sdt>
    </w:sdtContent>
  </w:sdt>
  <w:p w14:paraId="329E0777" w14:textId="77777777" w:rsidR="00845C58" w:rsidRDefault="00845C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FD1F" w14:textId="77777777" w:rsidR="00C02342" w:rsidRDefault="00C02342">
      <w:r>
        <w:separator/>
      </w:r>
    </w:p>
  </w:footnote>
  <w:footnote w:type="continuationSeparator" w:id="0">
    <w:p w14:paraId="3475DD61" w14:textId="77777777" w:rsidR="00C02342" w:rsidRDefault="00C023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AD88" w14:textId="77777777" w:rsidR="00660C1F" w:rsidRDefault="00660C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B220" w14:textId="77777777" w:rsidR="00660C1F" w:rsidRDefault="00660C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D28E" w14:textId="77777777" w:rsidR="006848E6" w:rsidRDefault="0082476B" w:rsidP="0082476B">
    <w:pPr>
      <w:tabs>
        <w:tab w:val="left" w:pos="1560"/>
        <w:tab w:val="left" w:pos="3119"/>
      </w:tabs>
      <w:contextualSpacing/>
      <w:rPr>
        <w:rFonts w:ascii="Arial" w:hAnsi="Arial"/>
        <w:color w:val="E30613"/>
        <w:sz w:val="50"/>
      </w:rPr>
    </w:pPr>
    <w:r>
      <w:rPr>
        <w:noProof/>
        <w:lang w:val="en-US"/>
      </w:rPr>
      <w:drawing>
        <wp:anchor distT="0" distB="0" distL="114300" distR="114300" simplePos="0" relativeHeight="251657727" behindDoc="1" locked="0" layoutInCell="1" allowOverlap="1" wp14:anchorId="0FB5CE6B" wp14:editId="4CBC9678">
          <wp:simplePos x="0" y="0"/>
          <wp:positionH relativeFrom="column">
            <wp:posOffset>-157879</wp:posOffset>
          </wp:positionH>
          <wp:positionV relativeFrom="paragraph">
            <wp:posOffset>-46178</wp:posOffset>
          </wp:positionV>
          <wp:extent cx="1021501" cy="1084521"/>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1021501" cy="1084521"/>
                  </a:xfrm>
                  <a:prstGeom prst="rect">
                    <a:avLst/>
                  </a:prstGeom>
                </pic:spPr>
              </pic:pic>
            </a:graphicData>
          </a:graphic>
          <wp14:sizeRelH relativeFrom="page">
            <wp14:pctWidth>0</wp14:pctWidth>
          </wp14:sizeRelH>
          <wp14:sizeRelV relativeFrom="page">
            <wp14:pctHeight>0</wp14:pctHeight>
          </wp14:sizeRelV>
        </wp:anchor>
      </w:drawing>
    </w:r>
    <w:r w:rsidR="006848E6" w:rsidRPr="008C2740">
      <w:rPr>
        <w:rFonts w:ascii="Arial" w:hAnsi="Arial"/>
        <w:sz w:val="50"/>
      </w:rPr>
      <w:tab/>
    </w:r>
    <w:r w:rsidR="00660C1F">
      <w:rPr>
        <w:rFonts w:ascii="Arial" w:hAnsi="Arial"/>
        <w:color w:val="E30613"/>
        <w:sz w:val="50"/>
      </w:rPr>
      <w:t>Outil</w:t>
    </w:r>
    <w:r w:rsidR="006848E6" w:rsidRPr="0082476B">
      <w:rPr>
        <w:rFonts w:ascii="Arial" w:hAnsi="Arial"/>
        <w:color w:val="E30613"/>
        <w:sz w:val="50"/>
      </w:rPr>
      <w:t xml:space="preserve"> </w:t>
    </w:r>
    <w:r w:rsidR="005152F6">
      <w:rPr>
        <w:rFonts w:ascii="Arial" w:hAnsi="Arial"/>
        <w:color w:val="E30613"/>
        <w:sz w:val="50"/>
      </w:rPr>
      <w:t>6</w:t>
    </w:r>
    <w:r w:rsidR="0008515E" w:rsidRPr="0082476B">
      <w:rPr>
        <w:rFonts w:ascii="Arial" w:hAnsi="Arial"/>
        <w:color w:val="E30613"/>
        <w:sz w:val="50"/>
      </w:rPr>
      <w:br/>
    </w:r>
    <w:r w:rsidR="0008515E" w:rsidRPr="0082476B">
      <w:rPr>
        <w:rFonts w:ascii="Arial" w:hAnsi="Arial"/>
        <w:color w:val="E30613"/>
        <w:sz w:val="50"/>
      </w:rPr>
      <w:tab/>
    </w:r>
    <w:r w:rsidR="00660C1F">
      <w:rPr>
        <w:rFonts w:ascii="Arial" w:hAnsi="Arial"/>
        <w:b/>
        <w:color w:val="E30613"/>
        <w:sz w:val="50"/>
      </w:rPr>
      <w:t>Principales conditions du bail</w:t>
    </w:r>
    <w:bookmarkStart w:id="0" w:name="_GoBack"/>
    <w:bookmarkEnd w:id="0"/>
  </w:p>
  <w:p w14:paraId="49BE54A6" w14:textId="77777777" w:rsidR="0082476B" w:rsidRDefault="0082476B" w:rsidP="0082476B">
    <w:pPr>
      <w:tabs>
        <w:tab w:val="left" w:pos="1560"/>
        <w:tab w:val="left" w:pos="3119"/>
      </w:tabs>
      <w:contextualSpacing/>
      <w:rPr>
        <w:rFonts w:ascii="Arial" w:hAnsi="Arial"/>
        <w:color w:val="E30613"/>
        <w:sz w:val="50"/>
      </w:rPr>
    </w:pPr>
  </w:p>
  <w:p w14:paraId="25C22D96" w14:textId="77777777" w:rsidR="0082476B" w:rsidRPr="0082476B" w:rsidRDefault="0082476B" w:rsidP="0082476B">
    <w:pPr>
      <w:tabs>
        <w:tab w:val="left" w:pos="1560"/>
        <w:tab w:val="left" w:pos="3119"/>
      </w:tabs>
      <w:contextualSpacing/>
      <w:rPr>
        <w:rFonts w:ascii="Arial" w:hAnsi="Arial" w:cs="Arial"/>
        <w:color w:val="E30613"/>
        <w:sz w:val="22"/>
        <w:szCs w:val="22"/>
      </w:rPr>
    </w:pPr>
  </w:p>
  <w:p w14:paraId="255B9FB2" w14:textId="77777777" w:rsidR="006848E6" w:rsidRPr="0082476B" w:rsidRDefault="006848E6" w:rsidP="009D179A">
    <w:pPr>
      <w:tabs>
        <w:tab w:val="left" w:pos="2127"/>
        <w:tab w:val="left" w:pos="3402"/>
      </w:tabs>
      <w:contextualSpacing/>
      <w:rPr>
        <w:rFonts w:ascii="Arial" w:hAnsi="Arial" w:cs="Arial"/>
        <w:color w:val="E30613"/>
        <w:sz w:val="22"/>
        <w:szCs w:val="22"/>
      </w:rPr>
    </w:pPr>
  </w:p>
  <w:p w14:paraId="470A3F17" w14:textId="77777777" w:rsidR="006848E6" w:rsidRPr="0082476B" w:rsidRDefault="006848E6">
    <w:pPr>
      <w:pStyle w:val="Header"/>
      <w:contextualSpacing/>
      <w:rPr>
        <w:rFonts w:ascii="Arial" w:hAnsi="Arial" w:cs="Arial"/>
        <w:color w:val="E30613"/>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6">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3">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4">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5"/>
  </w:num>
  <w:num w:numId="5">
    <w:abstractNumId w:val="19"/>
  </w:num>
  <w:num w:numId="6">
    <w:abstractNumId w:val="11"/>
  </w:num>
  <w:num w:numId="7">
    <w:abstractNumId w:val="0"/>
  </w:num>
  <w:num w:numId="8">
    <w:abstractNumId w:val="2"/>
  </w:num>
  <w:num w:numId="9">
    <w:abstractNumId w:val="10"/>
  </w:num>
  <w:num w:numId="10">
    <w:abstractNumId w:val="7"/>
  </w:num>
  <w:num w:numId="11">
    <w:abstractNumId w:val="16"/>
  </w:num>
  <w:num w:numId="12">
    <w:abstractNumId w:val="15"/>
  </w:num>
  <w:num w:numId="13">
    <w:abstractNumId w:val="20"/>
  </w:num>
  <w:num w:numId="14">
    <w:abstractNumId w:val="3"/>
  </w:num>
  <w:num w:numId="15">
    <w:abstractNumId w:val="8"/>
  </w:num>
  <w:num w:numId="16">
    <w:abstractNumId w:val="17"/>
  </w:num>
  <w:num w:numId="17">
    <w:abstractNumId w:val="18"/>
  </w:num>
  <w:num w:numId="18">
    <w:abstractNumId w:val="14"/>
  </w:num>
  <w:num w:numId="19">
    <w:abstractNumId w:val="1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460F0"/>
    <w:rsid w:val="00051C44"/>
    <w:rsid w:val="000548DA"/>
    <w:rsid w:val="0006578B"/>
    <w:rsid w:val="0008515E"/>
    <w:rsid w:val="000B630B"/>
    <w:rsid w:val="000C5C25"/>
    <w:rsid w:val="00203C05"/>
    <w:rsid w:val="002427A6"/>
    <w:rsid w:val="00257E6B"/>
    <w:rsid w:val="00260847"/>
    <w:rsid w:val="002A16B6"/>
    <w:rsid w:val="002A1794"/>
    <w:rsid w:val="002A3AB9"/>
    <w:rsid w:val="002C11E9"/>
    <w:rsid w:val="002C6899"/>
    <w:rsid w:val="003E2593"/>
    <w:rsid w:val="003E70E9"/>
    <w:rsid w:val="003F1B6D"/>
    <w:rsid w:val="00406861"/>
    <w:rsid w:val="004B7D7D"/>
    <w:rsid w:val="004C64B1"/>
    <w:rsid w:val="004D4F38"/>
    <w:rsid w:val="004F34D3"/>
    <w:rsid w:val="005152F6"/>
    <w:rsid w:val="00592E68"/>
    <w:rsid w:val="00660C1F"/>
    <w:rsid w:val="006848E6"/>
    <w:rsid w:val="00687602"/>
    <w:rsid w:val="00706CAE"/>
    <w:rsid w:val="00764FCE"/>
    <w:rsid w:val="00766017"/>
    <w:rsid w:val="007C3A06"/>
    <w:rsid w:val="007D07CF"/>
    <w:rsid w:val="008006E1"/>
    <w:rsid w:val="008108BF"/>
    <w:rsid w:val="0082476B"/>
    <w:rsid w:val="00845C58"/>
    <w:rsid w:val="008733D2"/>
    <w:rsid w:val="008E77BD"/>
    <w:rsid w:val="00960E94"/>
    <w:rsid w:val="009D179A"/>
    <w:rsid w:val="00A977E7"/>
    <w:rsid w:val="00B06EA0"/>
    <w:rsid w:val="00B21E9F"/>
    <w:rsid w:val="00C02342"/>
    <w:rsid w:val="00C20A65"/>
    <w:rsid w:val="00C5414A"/>
    <w:rsid w:val="00C66446"/>
    <w:rsid w:val="00C7008B"/>
    <w:rsid w:val="00C80763"/>
    <w:rsid w:val="00C80928"/>
    <w:rsid w:val="00C94F6A"/>
    <w:rsid w:val="00D61B4D"/>
    <w:rsid w:val="00DA6DFF"/>
    <w:rsid w:val="00DF2AEF"/>
    <w:rsid w:val="00EF6E1F"/>
    <w:rsid w:val="00F4240C"/>
    <w:rsid w:val="00F54370"/>
    <w:rsid w:val="00F553C7"/>
    <w:rsid w:val="00F71B38"/>
    <w:rsid w:val="00FA418E"/>
    <w:rsid w:val="00FF7A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62483"/>
    </o:shapedefaults>
    <o:shapelayout v:ext="edit">
      <o:idmap v:ext="edit" data="1"/>
    </o:shapelayout>
  </w:shapeDefaults>
  <w:decimalSymbol w:val="."/>
  <w:listSeparator w:val=","/>
  <w14:docId w14:val="6C76E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table" w:styleId="TableGrid">
    <w:name w:val="Table Grid"/>
    <w:basedOn w:val="TableNormal"/>
    <w:rsid w:val="00810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6446"/>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C66446"/>
    <w:pPr>
      <w:spacing w:line="241"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table" w:styleId="TableGrid">
    <w:name w:val="Table Grid"/>
    <w:basedOn w:val="TableNormal"/>
    <w:rsid w:val="00810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6446"/>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C66446"/>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5311-B208-0541-9C6D-AB824A70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1175</Words>
  <Characters>6702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7862</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Lomon</dc:creator>
  <cp:lastModifiedBy>Raquel Vazquez Llorente</cp:lastModifiedBy>
  <cp:revision>3</cp:revision>
  <cp:lastPrinted>2013-07-25T14:08:00Z</cp:lastPrinted>
  <dcterms:created xsi:type="dcterms:W3CDTF">2015-06-10T17:22:00Z</dcterms:created>
  <dcterms:modified xsi:type="dcterms:W3CDTF">2015-06-10T17:29:00Z</dcterms:modified>
</cp:coreProperties>
</file>