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9F58" w14:textId="77777777" w:rsidR="00F8255B" w:rsidRPr="000A5C98" w:rsidRDefault="00F8255B" w:rsidP="00F8255B">
      <w:pPr>
        <w:spacing w:after="195" w:line="300" w:lineRule="auto"/>
        <w:ind w:left="-90" w:right="20"/>
        <w:rPr>
          <w:rFonts w:ascii="Arial" w:hAnsi="Arial" w:cs="Arial"/>
        </w:rPr>
      </w:pPr>
      <w:r>
        <w:rPr>
          <w:noProof/>
        </w:rPr>
        <mc:AlternateContent>
          <mc:Choice Requires="wps">
            <w:drawing>
              <wp:anchor distT="0" distB="0" distL="114300" distR="114300" simplePos="0" relativeHeight="251665920" behindDoc="1" locked="0" layoutInCell="1" allowOverlap="1" wp14:anchorId="1D1D4494" wp14:editId="06DC94A5">
                <wp:simplePos x="0" y="0"/>
                <wp:positionH relativeFrom="column">
                  <wp:posOffset>13335</wp:posOffset>
                </wp:positionH>
                <wp:positionV relativeFrom="paragraph">
                  <wp:posOffset>354965</wp:posOffset>
                </wp:positionV>
                <wp:extent cx="6126480" cy="852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852170"/>
                        </a:xfrm>
                        <a:prstGeom prst="rect">
                          <a:avLst/>
                        </a:prstGeom>
                        <a:solidFill>
                          <a:schemeClr val="accent4"/>
                        </a:solidFill>
                        <a:ln w="12700" cap="flat" cmpd="sng" algn="ctr">
                          <a:noFill/>
                          <a:prstDash val="solid"/>
                          <a:miter lim="800000"/>
                        </a:ln>
                        <a:effectLst/>
                      </wps:spPr>
                      <wps:txbx>
                        <w:txbxContent>
                          <w:p w14:paraId="62014BAA" w14:textId="14519975" w:rsidR="00D54777" w:rsidRPr="00D54777" w:rsidRDefault="00D54777" w:rsidP="00D54777">
                            <w:pPr>
                              <w:pStyle w:val="EISF115boldgrey"/>
                            </w:pPr>
                            <w:r w:rsidRPr="00D54777">
                              <w:t>To support sexual violence preparedness efforts, this tool provides a list of key questions an organisation should endeavour to answer about the legal environments in its countries of operation</w:t>
                            </w:r>
                            <w:r>
                              <w:t>.</w:t>
                            </w:r>
                          </w:p>
                          <w:p w14:paraId="0539B4B7" w14:textId="0E36A915" w:rsidR="00F8255B" w:rsidRPr="00F55B7C" w:rsidRDefault="00F8255B" w:rsidP="00D54777">
                            <w:pPr>
                              <w:pStyle w:val="EISF115boldgrey"/>
                              <w:rPr>
                                <w:sz w:val="24"/>
                                <w:szCs w:val="24"/>
                              </w:rPr>
                            </w:pPr>
                          </w:p>
                        </w:txbxContent>
                      </wps:txbx>
                      <wps:bodyPr rot="0" spcFirstLastPara="0" vertOverflow="overflow" horzOverflow="overflow" vert="horz" wrap="square" lIns="228600" tIns="13716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4494" id="Rectangle 2" o:spid="_x0000_s1026" style="position:absolute;left:0;text-align:left;margin-left:1.05pt;margin-top:27.95pt;width:482.4pt;height:6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" fillcolor="#e7f0ce [3207]" stroked="f" strokeweight="1pt">
                <v:textbox inset="18pt,10.8pt">
                  <w:txbxContent>
                    <w:p w14:paraId="62014BAA" w14:textId="14519975" w:rsidR="00D54777" w:rsidRPr="00D54777" w:rsidRDefault="00D54777" w:rsidP="00D54777">
                      <w:pPr>
                        <w:pStyle w:val="EISF115boldgrey"/>
                      </w:pPr>
                      <w:r w:rsidRPr="00D54777">
                        <w:t>To support sexual violence preparedness efforts, this tool provides a list of key questions an organisation should endeavour to answer about the legal environments in its countries of operation</w:t>
                      </w:r>
                      <w:r>
                        <w:t>.</w:t>
                      </w:r>
                    </w:p>
                    <w:p w14:paraId="0539B4B7" w14:textId="0E36A915" w:rsidR="00F8255B" w:rsidRPr="00F55B7C" w:rsidRDefault="00F8255B" w:rsidP="00D54777">
                      <w:pPr>
                        <w:pStyle w:val="EISF115boldgrey"/>
                        <w:rPr>
                          <w:sz w:val="24"/>
                          <w:szCs w:val="24"/>
                        </w:rPr>
                      </w:pPr>
                    </w:p>
                  </w:txbxContent>
                </v:textbox>
              </v:rect>
            </w:pict>
          </mc:Fallback>
        </mc:AlternateContent>
      </w:r>
    </w:p>
    <w:p w14:paraId="4B16B4D5" w14:textId="77777777" w:rsidR="00F8255B" w:rsidRPr="000A5C98" w:rsidRDefault="00F8255B" w:rsidP="00F8255B">
      <w:pPr>
        <w:spacing w:after="195" w:line="300" w:lineRule="auto"/>
        <w:ind w:right="20"/>
        <w:rPr>
          <w:rFonts w:ascii="Arial" w:hAnsi="Arial" w:cs="Arial"/>
        </w:rPr>
      </w:pPr>
      <w:r w:rsidRPr="000A5C98">
        <w:rPr>
          <w:rFonts w:ascii="Arial" w:hAnsi="Arial" w:cs="Arial"/>
        </w:rPr>
        <w:tab/>
      </w:r>
    </w:p>
    <w:p w14:paraId="41241C41" w14:textId="77777777" w:rsidR="00F8255B" w:rsidRPr="000A5C98" w:rsidRDefault="00F8255B" w:rsidP="00F8255B">
      <w:pPr>
        <w:spacing w:after="195" w:line="300" w:lineRule="auto"/>
        <w:ind w:left="-90" w:right="20"/>
        <w:rPr>
          <w:rFonts w:ascii="Arial" w:hAnsi="Arial" w:cs="Arial"/>
        </w:rPr>
      </w:pPr>
    </w:p>
    <w:p w14:paraId="215CD164" w14:textId="77777777" w:rsidR="00F8255B" w:rsidRPr="000A5C98" w:rsidRDefault="00F8255B" w:rsidP="00F8255B">
      <w:pPr>
        <w:spacing w:after="98" w:line="195" w:lineRule="atLeast"/>
        <w:rPr>
          <w:rFonts w:ascii="Arial" w:hAnsi="Arial" w:cs="Arial"/>
          <w:b/>
          <w:bCs/>
          <w:sz w:val="23"/>
          <w:szCs w:val="23"/>
          <w:lang w:eastAsia="en-GB"/>
        </w:rPr>
      </w:pPr>
      <w:r w:rsidRPr="000A5C98">
        <w:rPr>
          <w:rFonts w:ascii="Arial" w:hAnsi="Arial" w:cs="Arial"/>
        </w:rPr>
        <w:tab/>
      </w:r>
      <w:r w:rsidRPr="000A5C98">
        <w:rPr>
          <w:rFonts w:ascii="Arial" w:hAnsi="Arial" w:cs="Arial"/>
        </w:rPr>
        <w:br/>
      </w:r>
      <w:r w:rsidRPr="000A5C98">
        <w:rPr>
          <w:rFonts w:ascii="Arial" w:hAnsi="Arial" w:cs="Arial"/>
        </w:rPr>
        <w:br/>
      </w:r>
    </w:p>
    <w:p w14:paraId="00D9B2C3" w14:textId="1848931C" w:rsidR="00F8255B" w:rsidRPr="00B645F5" w:rsidRDefault="00B645F5" w:rsidP="00B645F5">
      <w:pPr>
        <w:pStyle w:val="EISF115grey"/>
      </w:pPr>
      <w:r w:rsidRPr="00B645F5">
        <w:t>The following questions should be adapted to reflect the possible legal settings where a proceeding could take place. A survivor may bring legal proceedings in the country where the incident took place, their home country, the country of the alleged perpetrator, or the country in which the organisation has its headquarters. The following questions are meant as guidance and are not an exhaustive list.</w:t>
      </w:r>
    </w:p>
    <w:p w14:paraId="4E389E98" w14:textId="77777777" w:rsidR="009A664F" w:rsidRPr="009A664F" w:rsidRDefault="009A664F" w:rsidP="009A664F">
      <w:pPr>
        <w:pStyle w:val="EISF14headbold"/>
      </w:pPr>
      <w:r w:rsidRPr="009A664F">
        <w:t>General</w:t>
      </w:r>
    </w:p>
    <w:p w14:paraId="6D29106C" w14:textId="089C9044" w:rsidR="009A664F" w:rsidRPr="009A664F" w:rsidRDefault="009A664F" w:rsidP="009A664F">
      <w:pPr>
        <w:pStyle w:val="EISF115bullets"/>
      </w:pPr>
      <w:r w:rsidRPr="009A664F">
        <w:t>What are the legal definitions and understandings of sexual assault/rape in the country of prosecution?</w:t>
      </w:r>
    </w:p>
    <w:p w14:paraId="5B67EBF4" w14:textId="0CCBFC59" w:rsidR="009A664F" w:rsidRPr="009A664F" w:rsidRDefault="009A664F" w:rsidP="009A664F">
      <w:pPr>
        <w:pStyle w:val="EISF115bullets"/>
      </w:pPr>
      <w:r w:rsidRPr="009A664F">
        <w:t>What is the rape/sexual assault prosecution process from beginning to end?</w:t>
      </w:r>
    </w:p>
    <w:p w14:paraId="3CD3DF0F" w14:textId="5FE75127" w:rsidR="009A664F" w:rsidRPr="009A664F" w:rsidRDefault="009A664F" w:rsidP="009A664F">
      <w:pPr>
        <w:pStyle w:val="EISF115bullets"/>
      </w:pPr>
      <w:r w:rsidRPr="009A664F">
        <w:t xml:space="preserve">How does the survivor file a complaint? </w:t>
      </w:r>
    </w:p>
    <w:p w14:paraId="2721201D" w14:textId="4F4C05D6" w:rsidR="009A664F" w:rsidRPr="009A664F" w:rsidRDefault="009A664F" w:rsidP="009A664F">
      <w:pPr>
        <w:pStyle w:val="EISF115bullets"/>
      </w:pPr>
      <w:r w:rsidRPr="009A664F">
        <w:t xml:space="preserve">Where is the complaint made? </w:t>
      </w:r>
    </w:p>
    <w:p w14:paraId="3CD9ADF6" w14:textId="6155C1C4" w:rsidR="009A664F" w:rsidRPr="009A664F" w:rsidRDefault="009A664F" w:rsidP="009A664F">
      <w:pPr>
        <w:pStyle w:val="EISF115bullets"/>
      </w:pPr>
      <w:r w:rsidRPr="009A664F">
        <w:t xml:space="preserve">Should the complaint be written or verbal? </w:t>
      </w:r>
    </w:p>
    <w:p w14:paraId="05F37D67" w14:textId="66B49402" w:rsidR="009A664F" w:rsidRPr="009A664F" w:rsidRDefault="009A664F" w:rsidP="009A664F">
      <w:pPr>
        <w:pStyle w:val="EISF115bullets"/>
      </w:pPr>
      <w:r w:rsidRPr="009A664F">
        <w:t>To whom is a complaint made?</w:t>
      </w:r>
    </w:p>
    <w:p w14:paraId="691E9362" w14:textId="2395101D" w:rsidR="009A664F" w:rsidRPr="009A664F" w:rsidRDefault="009A664F" w:rsidP="009A664F">
      <w:pPr>
        <w:pStyle w:val="EISF115bullets"/>
      </w:pPr>
      <w:r w:rsidRPr="009A664F">
        <w:t>How quickly must the report be made after the incident?</w:t>
      </w:r>
    </w:p>
    <w:p w14:paraId="550914EE" w14:textId="05B58110" w:rsidR="009A664F" w:rsidRPr="009A664F" w:rsidRDefault="009A664F" w:rsidP="009A664F">
      <w:pPr>
        <w:pStyle w:val="EISF115bullets"/>
      </w:pPr>
      <w:r w:rsidRPr="009A664F">
        <w:t>Is there any statute of limitations on the prosecution of rape/sexual assault?</w:t>
      </w:r>
    </w:p>
    <w:p w14:paraId="5874D1BD" w14:textId="78246C11" w:rsidR="009A664F" w:rsidRPr="009A664F" w:rsidRDefault="009A664F" w:rsidP="009A664F">
      <w:pPr>
        <w:pStyle w:val="EISF115bullets"/>
      </w:pPr>
      <w:r w:rsidRPr="009A664F">
        <w:t xml:space="preserve">Does the government take responsibility for the prosecution? </w:t>
      </w:r>
    </w:p>
    <w:p w14:paraId="149F335A" w14:textId="33C57231" w:rsidR="009A664F" w:rsidRPr="009A664F" w:rsidRDefault="009A664F" w:rsidP="009A664F">
      <w:pPr>
        <w:pStyle w:val="EISF115bullets"/>
      </w:pPr>
      <w:r w:rsidRPr="009A664F">
        <w:t>What role does the survivor play in pressing for prosecution?</w:t>
      </w:r>
    </w:p>
    <w:p w14:paraId="3A81C88E" w14:textId="79574170" w:rsidR="009A664F" w:rsidRPr="009A664F" w:rsidRDefault="009A664F" w:rsidP="009A664F">
      <w:pPr>
        <w:pStyle w:val="EISF115bullets"/>
      </w:pPr>
      <w:r w:rsidRPr="009A664F">
        <w:t xml:space="preserve">At what point will the report and/or proceedings become a matter of public record? </w:t>
      </w:r>
    </w:p>
    <w:p w14:paraId="1FF7C6A8" w14:textId="1FA0F6B9" w:rsidR="009A664F" w:rsidRPr="009A664F" w:rsidRDefault="009A664F" w:rsidP="009A664F">
      <w:pPr>
        <w:pStyle w:val="EISF115bullets"/>
      </w:pPr>
      <w:r w:rsidRPr="009A664F">
        <w:t>Does the law protect the identity of the survivor?</w:t>
      </w:r>
    </w:p>
    <w:p w14:paraId="6F93299B" w14:textId="77777777" w:rsidR="009A664F" w:rsidRDefault="009A664F" w:rsidP="009A664F">
      <w:pPr>
        <w:pStyle w:val="EISF115grey"/>
      </w:pPr>
    </w:p>
    <w:p w14:paraId="7F8CD10D" w14:textId="56FAD390" w:rsidR="009A664F" w:rsidRPr="009A664F" w:rsidRDefault="009A664F" w:rsidP="009A664F">
      <w:pPr>
        <w:pStyle w:val="EISF14headbold"/>
      </w:pPr>
      <w:r w:rsidRPr="009A664F">
        <w:t>Forensic evidence</w:t>
      </w:r>
    </w:p>
    <w:p w14:paraId="583CDE80" w14:textId="3636407E" w:rsidR="009A664F" w:rsidRPr="009A664F" w:rsidRDefault="009A664F" w:rsidP="009A664F">
      <w:pPr>
        <w:pStyle w:val="EISF115bullets"/>
      </w:pPr>
      <w:r w:rsidRPr="009A664F">
        <w:t>What forensic evidence is required for a successful prosecution?</w:t>
      </w:r>
    </w:p>
    <w:p w14:paraId="3230BB3A" w14:textId="7AADE010" w:rsidR="009A664F" w:rsidRPr="009A664F" w:rsidRDefault="009A664F" w:rsidP="009A664F">
      <w:pPr>
        <w:pStyle w:val="EISF115bullets"/>
      </w:pPr>
      <w:r w:rsidRPr="009A664F">
        <w:t>What is the local capacity to gather evidence and analyse it?</w:t>
      </w:r>
    </w:p>
    <w:p w14:paraId="128B7B09" w14:textId="2376637F" w:rsidR="009A664F" w:rsidRPr="009A664F" w:rsidRDefault="009A664F" w:rsidP="009A664F">
      <w:pPr>
        <w:pStyle w:val="EISF115bullets"/>
      </w:pPr>
      <w:r w:rsidRPr="009A664F">
        <w:t>What requirements does the law impose with respect to the collection of that evidence?</w:t>
      </w:r>
    </w:p>
    <w:p w14:paraId="0BFBCF61" w14:textId="4730AFF8" w:rsidR="009A664F" w:rsidRPr="009A664F" w:rsidRDefault="009A664F" w:rsidP="009A664F">
      <w:pPr>
        <w:pStyle w:val="EISF115bullets"/>
      </w:pPr>
      <w:r w:rsidRPr="009A664F">
        <w:t>Must the evidence be collected by a particular individual (such as a state-certified gynaecologist) or collected in the presence of a particular individual?</w:t>
      </w:r>
    </w:p>
    <w:p w14:paraId="564F7E2D" w14:textId="47558442" w:rsidR="009A664F" w:rsidRPr="009A664F" w:rsidRDefault="009A664F" w:rsidP="009A664F">
      <w:pPr>
        <w:pStyle w:val="EISF115bullets"/>
      </w:pPr>
      <w:r w:rsidRPr="009A664F">
        <w:lastRenderedPageBreak/>
        <w:t>How must the evidence be handled and accounted for after it is collected? Must it be secured? How is lab work done? Who maintains the ‘chain of custody’?</w:t>
      </w:r>
    </w:p>
    <w:p w14:paraId="2B1DDFB9" w14:textId="77777777" w:rsidR="009A664F" w:rsidRDefault="009A664F" w:rsidP="009A664F">
      <w:pPr>
        <w:pStyle w:val="EISF115grey"/>
      </w:pPr>
    </w:p>
    <w:p w14:paraId="42A85831" w14:textId="7BB00788" w:rsidR="009A664F" w:rsidRPr="009A664F" w:rsidRDefault="009A664F" w:rsidP="009A664F">
      <w:pPr>
        <w:pStyle w:val="EISF14headbold"/>
      </w:pPr>
      <w:r w:rsidRPr="009A664F">
        <w:t>Arrest and court proceedings</w:t>
      </w:r>
    </w:p>
    <w:p w14:paraId="4F4C3374" w14:textId="76A98356" w:rsidR="009A664F" w:rsidRPr="009A664F" w:rsidRDefault="009A664F" w:rsidP="009A664F">
      <w:pPr>
        <w:pStyle w:val="EISF115grey"/>
      </w:pPr>
      <w:r w:rsidRPr="009A664F">
        <w:t>If the alleged perpetrator is a member of staff, the following questions should also be considered from their point of view. It should be noted that the organisation has a duty of care towards both the survivor and the alleged perpetrator in these circumstances.</w:t>
      </w:r>
    </w:p>
    <w:p w14:paraId="395ED94F" w14:textId="36BFBC75" w:rsidR="009A664F" w:rsidRPr="009A664F" w:rsidRDefault="009A664F" w:rsidP="009A664F">
      <w:pPr>
        <w:pStyle w:val="EISF115bullets"/>
      </w:pPr>
      <w:r w:rsidRPr="009A664F">
        <w:t>If an arrest is made, can the accused be released on bail after being charged?</w:t>
      </w:r>
    </w:p>
    <w:p w14:paraId="06C38252" w14:textId="2705608C" w:rsidR="009A664F" w:rsidRPr="009A664F" w:rsidRDefault="009A664F" w:rsidP="009A664F">
      <w:pPr>
        <w:pStyle w:val="EISF115bullets"/>
      </w:pPr>
      <w:r w:rsidRPr="009A664F">
        <w:t>What charges may be brought against the alleged perpetrator?</w:t>
      </w:r>
    </w:p>
    <w:p w14:paraId="156B365E" w14:textId="74AD9E3B" w:rsidR="009A664F" w:rsidRPr="009A664F" w:rsidRDefault="009A664F" w:rsidP="009A664F">
      <w:pPr>
        <w:pStyle w:val="EISF115bullets"/>
      </w:pPr>
      <w:r w:rsidRPr="009A664F">
        <w:t>Do the police have a specific unit or department for dealing with sexually violent crimes?</w:t>
      </w:r>
    </w:p>
    <w:p w14:paraId="4D117EED" w14:textId="6E8E2498" w:rsidR="009A664F" w:rsidRPr="009A664F" w:rsidRDefault="009A664F" w:rsidP="009A664F">
      <w:pPr>
        <w:pStyle w:val="EISF115bullets"/>
      </w:pPr>
      <w:r w:rsidRPr="009A664F">
        <w:t>Does the survivor have to identify the alleged perpetrator before the individual is charged with a crime?</w:t>
      </w:r>
    </w:p>
    <w:p w14:paraId="333F2E94" w14:textId="439C3372" w:rsidR="009A664F" w:rsidRPr="009A664F" w:rsidRDefault="009A664F" w:rsidP="009A664F">
      <w:pPr>
        <w:pStyle w:val="EISF115bullets"/>
      </w:pPr>
      <w:r w:rsidRPr="009A664F">
        <w:t>What is involved in the identification? Is it a line-up? Is the identity of the survivor protected?</w:t>
      </w:r>
    </w:p>
    <w:p w14:paraId="19EAAD7F" w14:textId="47167784" w:rsidR="009A664F" w:rsidRPr="009A664F" w:rsidRDefault="009A664F" w:rsidP="009A664F">
      <w:pPr>
        <w:pStyle w:val="EISF115bullets"/>
      </w:pPr>
      <w:r w:rsidRPr="009A664F">
        <w:t>May the survivor always be accompanied by an attorney or another representative?</w:t>
      </w:r>
    </w:p>
    <w:p w14:paraId="5B0EB0C9" w14:textId="5A6E798C" w:rsidR="009A664F" w:rsidRPr="009A664F" w:rsidRDefault="009A664F" w:rsidP="009A664F">
      <w:pPr>
        <w:pStyle w:val="EISF115bullets"/>
      </w:pPr>
      <w:r w:rsidRPr="009A664F">
        <w:t>What kind of court process is used for the trial? (Jury trial? Bench trial? Other proceedings?)</w:t>
      </w:r>
    </w:p>
    <w:p w14:paraId="5DA0EC14" w14:textId="5B39E798" w:rsidR="009A664F" w:rsidRPr="009A664F" w:rsidRDefault="009A664F" w:rsidP="009A664F">
      <w:pPr>
        <w:pStyle w:val="EISF115bullets"/>
      </w:pPr>
      <w:r w:rsidRPr="009A664F">
        <w:t>Does the survivor have to testify in court and/or in the presence of the defendant (that is, the alleged perpetrator)?</w:t>
      </w:r>
    </w:p>
    <w:p w14:paraId="018DAC09" w14:textId="0419A370" w:rsidR="009A664F" w:rsidRPr="009A664F" w:rsidRDefault="009A664F" w:rsidP="009A664F">
      <w:pPr>
        <w:pStyle w:val="EISF115bullets"/>
      </w:pPr>
      <w:r w:rsidRPr="009A664F">
        <w:t>Does the defendant have the right to cross-examine the survivor?</w:t>
      </w:r>
    </w:p>
    <w:p w14:paraId="330D96E8" w14:textId="57769619" w:rsidR="009A664F" w:rsidRPr="009A664F" w:rsidRDefault="009A664F" w:rsidP="009A664F">
      <w:pPr>
        <w:pStyle w:val="EISF115bullets"/>
      </w:pPr>
      <w:r w:rsidRPr="009A664F">
        <w:t>Are there any subjects about which the defendant may not inquire with respect to the survivor?</w:t>
      </w:r>
    </w:p>
    <w:p w14:paraId="2B63209E" w14:textId="7B691BCA" w:rsidR="009A664F" w:rsidRPr="009A664F" w:rsidRDefault="009A664F" w:rsidP="009A664F">
      <w:pPr>
        <w:pStyle w:val="EISF115bullets"/>
      </w:pPr>
      <w:r w:rsidRPr="009A664F">
        <w:t>What are the risks the defendant faces if arrested (such as assault while in prison)?</w:t>
      </w:r>
    </w:p>
    <w:p w14:paraId="14E726AE" w14:textId="18C47AD3" w:rsidR="009A664F" w:rsidRPr="009A664F" w:rsidRDefault="009A664F" w:rsidP="009A664F">
      <w:pPr>
        <w:pStyle w:val="EISF115bullets"/>
      </w:pPr>
      <w:r w:rsidRPr="009A664F">
        <w:t>What are the penalties should the defendant be convicted?</w:t>
      </w:r>
    </w:p>
    <w:p w14:paraId="02C391CE" w14:textId="0A2987C6" w:rsidR="009A664F" w:rsidRPr="009A664F" w:rsidRDefault="009A664F" w:rsidP="009A664F">
      <w:pPr>
        <w:pStyle w:val="EISF115bullets"/>
      </w:pPr>
      <w:r w:rsidRPr="009A664F">
        <w:t>Can the prosecution proceed if the survivor no longer resides in the country? If the survivor becomes unwilling to proceed, can legal action be taken against them?</w:t>
      </w:r>
    </w:p>
    <w:p w14:paraId="23BD4A97" w14:textId="436A838F" w:rsidR="009A664F" w:rsidRPr="009A664F" w:rsidRDefault="009A664F" w:rsidP="009A664F">
      <w:pPr>
        <w:pStyle w:val="EISF115bullets"/>
      </w:pPr>
      <w:r w:rsidRPr="009A664F">
        <w:t xml:space="preserve">What is the recent history of successful prosecutions of this nature? </w:t>
      </w:r>
    </w:p>
    <w:p w14:paraId="2FE34E46" w14:textId="379CD477" w:rsidR="009A664F" w:rsidRPr="009A664F" w:rsidRDefault="009A664F" w:rsidP="009A664F">
      <w:pPr>
        <w:pStyle w:val="EISF115bullets"/>
      </w:pPr>
      <w:r w:rsidRPr="009A664F">
        <w:t>What are the chances of conviction in this particular case?</w:t>
      </w:r>
    </w:p>
    <w:p w14:paraId="3E3EAA3C" w14:textId="147CA7E2" w:rsidR="009A664F" w:rsidRPr="009A664F" w:rsidRDefault="009A664F" w:rsidP="009A664F">
      <w:pPr>
        <w:pStyle w:val="EISF115bullets"/>
      </w:pPr>
      <w:r w:rsidRPr="009A664F">
        <w:t>Will the government be supportive of such a prosecution?</w:t>
      </w:r>
    </w:p>
    <w:p w14:paraId="051596FB" w14:textId="335F2368" w:rsidR="009A664F" w:rsidRPr="009A664F" w:rsidRDefault="009A664F" w:rsidP="009A664F">
      <w:pPr>
        <w:pStyle w:val="EISF115bullets"/>
      </w:pPr>
      <w:r w:rsidRPr="009A664F">
        <w:t>How traumatic can the legal process be in this jurisdiction for both the survivor and the alleged perpetrator?</w:t>
      </w:r>
    </w:p>
    <w:p w14:paraId="284DC871" w14:textId="0A5C0501" w:rsidR="009A664F" w:rsidRPr="009A664F" w:rsidRDefault="009A664F" w:rsidP="009A664F">
      <w:pPr>
        <w:pStyle w:val="EISF115bullets"/>
      </w:pPr>
      <w:r w:rsidRPr="009A664F">
        <w:t>What are the cultural implications of this case? (For example, if a man makes an accusation? If a woman accuses a man? If a visitor to the country accuses someone who is a national of that country?)</w:t>
      </w:r>
    </w:p>
    <w:p w14:paraId="4B0F65CD" w14:textId="0191CBEE" w:rsidR="009A664F" w:rsidRPr="009A664F" w:rsidRDefault="009A664F" w:rsidP="009A664F">
      <w:pPr>
        <w:pStyle w:val="EISF115bullets"/>
      </w:pPr>
      <w:r w:rsidRPr="009A664F">
        <w:t>What are the cultural and legal implications of accusations of same-sex sexual violence cases?</w:t>
      </w:r>
    </w:p>
    <w:p w14:paraId="28C13FA4" w14:textId="0738AB24" w:rsidR="009A664F" w:rsidRPr="009A664F" w:rsidRDefault="009A664F" w:rsidP="009A664F">
      <w:pPr>
        <w:pStyle w:val="EISF115bullets"/>
      </w:pPr>
      <w:r w:rsidRPr="009A664F">
        <w:t>Are there potential security implications for the survivor who chooses to prosecute?</w:t>
      </w:r>
    </w:p>
    <w:p w14:paraId="18B34C13" w14:textId="6760E05D" w:rsidR="009A664F" w:rsidRPr="009A664F" w:rsidRDefault="009A664F" w:rsidP="009A664F">
      <w:pPr>
        <w:pStyle w:val="EISF115bullets"/>
      </w:pPr>
      <w:r w:rsidRPr="009A664F">
        <w:t>Will the decision to prosecute put other staff at risk?</w:t>
      </w:r>
    </w:p>
    <w:p w14:paraId="317A320C" w14:textId="34E56E12" w:rsidR="009A664F" w:rsidRPr="009A664F" w:rsidRDefault="009A664F" w:rsidP="009A664F">
      <w:pPr>
        <w:pStyle w:val="EISF115bullets"/>
      </w:pPr>
      <w:r w:rsidRPr="009A664F">
        <w:t>What is the potential impact should the survivor choose not to prosecute?</w:t>
      </w:r>
    </w:p>
    <w:p w14:paraId="37DEB23A" w14:textId="68BB37CA" w:rsidR="009A664F" w:rsidRPr="009A664F" w:rsidRDefault="009A664F" w:rsidP="009A664F">
      <w:pPr>
        <w:pStyle w:val="EISF115bullets"/>
      </w:pPr>
      <w:r w:rsidRPr="009A664F">
        <w:t>What is the typical relationship between the survivor, counsel to the survivor and the prosecution?</w:t>
      </w:r>
    </w:p>
    <w:p w14:paraId="5F51207A" w14:textId="240A4B43" w:rsidR="00066997" w:rsidRPr="009A664F" w:rsidRDefault="009A664F" w:rsidP="009A664F">
      <w:pPr>
        <w:pStyle w:val="EISF115bullets"/>
      </w:pPr>
      <w:r w:rsidRPr="009A664F">
        <w:lastRenderedPageBreak/>
        <w:t xml:space="preserve">What are the legal implications of moving an alleged perpetrator who is </w:t>
      </w:r>
      <w:bookmarkStart w:id="0" w:name="_GoBack"/>
      <w:bookmarkEnd w:id="0"/>
      <w:r w:rsidRPr="009A664F">
        <w:t>a member of staff out of the country where the incident took place for security/duty of care reasons?</w:t>
      </w:r>
    </w:p>
    <w:sectPr w:rsidR="00066997" w:rsidRPr="009A664F" w:rsidSect="00CA7EF1">
      <w:headerReference w:type="default" r:id="rId8"/>
      <w:footerReference w:type="even" r:id="rId9"/>
      <w:footerReference w:type="default" r:id="rId10"/>
      <w:headerReference w:type="first" r:id="rId11"/>
      <w:footerReference w:type="first" r:id="rId12"/>
      <w:pgSz w:w="11900" w:h="16840"/>
      <w:pgMar w:top="1440" w:right="1440" w:bottom="2081"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5AE57" w14:textId="77777777" w:rsidR="002F750C" w:rsidRDefault="002F750C" w:rsidP="00691614">
      <w:r>
        <w:separator/>
      </w:r>
    </w:p>
  </w:endnote>
  <w:endnote w:type="continuationSeparator" w:id="0">
    <w:p w14:paraId="48F3F92B" w14:textId="77777777" w:rsidR="002F750C" w:rsidRDefault="002F750C" w:rsidP="0069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Std Light">
    <w:panose1 w:val="020B0604020202020204"/>
    <w:charset w:val="00"/>
    <w:family w:val="swiss"/>
    <w:notTrueType/>
    <w:pitch w:val="variable"/>
    <w:sig w:usb0="00000003" w:usb1="00000000" w:usb2="00000000" w:usb3="00000000" w:csb0="00000001" w:csb1="00000000"/>
  </w:font>
  <w:font w:name="VAG Rounded Std">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Thin">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2DB8" w14:textId="77777777" w:rsidR="001A1E7B" w:rsidRPr="00ED5355" w:rsidRDefault="00ED5355" w:rsidP="00ED5355">
    <w:pPr>
      <w:pStyle w:val="p1"/>
      <w:ind w:right="-340"/>
      <w:jc w:val="right"/>
      <w:rPr>
        <w:rFonts w:ascii="VAG Rounded Std Thin" w:hAnsi="VAG Rounded Std Thin"/>
        <w:color w:val="645F64"/>
        <w:sz w:val="20"/>
        <w:szCs w:val="20"/>
      </w:rPr>
    </w:pPr>
    <w:r w:rsidRPr="001A1E7B">
      <w:rPr>
        <w:rFonts w:ascii="VAG Rounded Std Thin" w:hAnsi="VAG Rounded Std Thin"/>
        <w:color w:val="645F64"/>
        <w:sz w:val="20"/>
        <w:szCs w:val="20"/>
      </w:rPr>
      <w:t>Abdu</w:t>
    </w:r>
    <w:r>
      <w:rPr>
        <w:rFonts w:ascii="VAG Rounded Std Thin" w:hAnsi="VAG Rounded Std Thin"/>
        <w:color w:val="645F64"/>
        <w:sz w:val="20"/>
        <w:szCs w:val="20"/>
      </w:rPr>
      <w:t>ction and Kidnap Risk Management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7EB0" w14:textId="77777777" w:rsidR="00CC5645" w:rsidRPr="00CC5645" w:rsidRDefault="00CC5645" w:rsidP="0077506E">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6EA6FD7D" w14:textId="77777777" w:rsidR="00CC5645" w:rsidRPr="00CC5645" w:rsidRDefault="00CC5645" w:rsidP="00CC5645">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2</w:t>
    </w:r>
    <w:r w:rsidRPr="00CC5645">
      <w:rPr>
        <w:rFonts w:ascii="Arial" w:hAnsi="Arial" w:cs="Arial"/>
        <w:bCs/>
        <w:color w:val="717073" w:themeColor="text1"/>
        <w:sz w:val="20"/>
        <w:szCs w:val="20"/>
      </w:rPr>
      <w:fldChar w:fldCharType="end"/>
    </w:r>
  </w:p>
  <w:p w14:paraId="4CE9D270" w14:textId="77777777" w:rsidR="00744CB4" w:rsidRDefault="00744C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9BFE" w14:textId="47BF3A4A" w:rsidR="003911DD" w:rsidRPr="00CC5645" w:rsidRDefault="00823217" w:rsidP="0077506E">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00CC5645"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57B01D3D" w14:textId="77777777" w:rsidR="00A120C7" w:rsidRPr="00CC5645" w:rsidRDefault="00823217" w:rsidP="003911DD">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p>
  <w:p w14:paraId="54223568" w14:textId="77777777" w:rsidR="00744CB4" w:rsidRDefault="00744C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405F" w14:textId="77777777" w:rsidR="002F750C" w:rsidRDefault="002F750C" w:rsidP="00691614">
      <w:r>
        <w:separator/>
      </w:r>
    </w:p>
  </w:footnote>
  <w:footnote w:type="continuationSeparator" w:id="0">
    <w:p w14:paraId="30DF6914" w14:textId="77777777" w:rsidR="002F750C" w:rsidRDefault="002F750C" w:rsidP="0069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6512" w14:textId="77777777" w:rsidR="00691614" w:rsidRDefault="00691614">
    <w:pPr>
      <w:pStyle w:val="Header"/>
    </w:pPr>
  </w:p>
  <w:p w14:paraId="784B3FB3" w14:textId="77777777" w:rsidR="00691614" w:rsidRDefault="00691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0C94" w14:textId="7C235FD8" w:rsidR="0078649E" w:rsidRPr="00F55B7C" w:rsidRDefault="005C216F" w:rsidP="00F55B7C">
    <w:pPr>
      <w:pStyle w:val="EISF28headregturq"/>
    </w:pPr>
    <w:r>
      <w:drawing>
        <wp:anchor distT="0" distB="0" distL="114300" distR="114300" simplePos="0" relativeHeight="251656702" behindDoc="0" locked="0" layoutInCell="1" allowOverlap="1" wp14:anchorId="5A95C9AC" wp14:editId="4EFCBD9E">
          <wp:simplePos x="0" y="0"/>
          <wp:positionH relativeFrom="column">
            <wp:posOffset>16016</wp:posOffset>
          </wp:positionH>
          <wp:positionV relativeFrom="paragraph">
            <wp:posOffset>130527</wp:posOffset>
          </wp:positionV>
          <wp:extent cx="1143000" cy="1143000"/>
          <wp:effectExtent l="0" t="0" r="0" b="0"/>
          <wp:wrapThrough wrapText="bothSides">
            <wp:wrapPolygon edited="0">
              <wp:start x="0" y="0"/>
              <wp:lineTo x="0" y="21360"/>
              <wp:lineTo x="21360" y="21360"/>
              <wp:lineTo x="213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V Tool id.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A120C7" w:rsidRPr="00F55B7C">
      <w:rPr>
        <w:rStyle w:val="s1"/>
        <w:rFonts w:ascii="Arial" w:hAnsi="Arial"/>
        <w:sz w:val="56"/>
        <w:szCs w:val="56"/>
      </w:rPr>
      <w:t xml:space="preserve">Tool </w:t>
    </w:r>
    <w:r w:rsidR="00D54777">
      <w:rPr>
        <w:rStyle w:val="s1"/>
        <w:rFonts w:ascii="Arial" w:hAnsi="Arial"/>
        <w:sz w:val="56"/>
        <w:szCs w:val="56"/>
      </w:rPr>
      <w:t>3</w:t>
    </w:r>
  </w:p>
  <w:p w14:paraId="1131FC79" w14:textId="1E41240D" w:rsidR="001A74CC" w:rsidRPr="00F55B7C" w:rsidRDefault="00D54777" w:rsidP="00F55B7C">
    <w:pPr>
      <w:pStyle w:val="EISF28headboldturq"/>
    </w:pPr>
    <w:r>
      <w:t>Legal environment questionnaire</w:t>
    </w:r>
  </w:p>
  <w:p w14:paraId="45AF567E" w14:textId="77777777" w:rsidR="00A120C7" w:rsidRDefault="00A12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B5D0B"/>
    <w:multiLevelType w:val="hybridMultilevel"/>
    <w:tmpl w:val="004484BA"/>
    <w:lvl w:ilvl="0" w:tplc="6C3CC304">
      <w:start w:val="1"/>
      <w:numFmt w:val="bullet"/>
      <w:pStyle w:val="EISF115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2A"/>
    <w:rsid w:val="00006E83"/>
    <w:rsid w:val="0004017A"/>
    <w:rsid w:val="00066997"/>
    <w:rsid w:val="000966AF"/>
    <w:rsid w:val="000A3A68"/>
    <w:rsid w:val="000A5C98"/>
    <w:rsid w:val="000D1B5C"/>
    <w:rsid w:val="001008B0"/>
    <w:rsid w:val="00106945"/>
    <w:rsid w:val="00180AD0"/>
    <w:rsid w:val="001A1E7B"/>
    <w:rsid w:val="001A74CC"/>
    <w:rsid w:val="001E3B4E"/>
    <w:rsid w:val="001E5EAF"/>
    <w:rsid w:val="00234121"/>
    <w:rsid w:val="00237FE6"/>
    <w:rsid w:val="002B3C3D"/>
    <w:rsid w:val="002E10EA"/>
    <w:rsid w:val="002F750C"/>
    <w:rsid w:val="00307F1C"/>
    <w:rsid w:val="00315FEF"/>
    <w:rsid w:val="003250DA"/>
    <w:rsid w:val="00384DF0"/>
    <w:rsid w:val="003911DD"/>
    <w:rsid w:val="003B157B"/>
    <w:rsid w:val="003E103F"/>
    <w:rsid w:val="003E33E4"/>
    <w:rsid w:val="003E765A"/>
    <w:rsid w:val="004028C2"/>
    <w:rsid w:val="0042261C"/>
    <w:rsid w:val="0043408C"/>
    <w:rsid w:val="0047374E"/>
    <w:rsid w:val="004B4595"/>
    <w:rsid w:val="004C594E"/>
    <w:rsid w:val="004F14EC"/>
    <w:rsid w:val="00502908"/>
    <w:rsid w:val="00505F9F"/>
    <w:rsid w:val="0051769C"/>
    <w:rsid w:val="00517B96"/>
    <w:rsid w:val="00544FF9"/>
    <w:rsid w:val="00550FBE"/>
    <w:rsid w:val="00562240"/>
    <w:rsid w:val="005B7877"/>
    <w:rsid w:val="005C216F"/>
    <w:rsid w:val="00606C8C"/>
    <w:rsid w:val="00613388"/>
    <w:rsid w:val="00636FA5"/>
    <w:rsid w:val="0064009F"/>
    <w:rsid w:val="006411C5"/>
    <w:rsid w:val="00642DAA"/>
    <w:rsid w:val="00644D79"/>
    <w:rsid w:val="006463F6"/>
    <w:rsid w:val="00691614"/>
    <w:rsid w:val="006A322E"/>
    <w:rsid w:val="006C7EBD"/>
    <w:rsid w:val="006F2908"/>
    <w:rsid w:val="007240BE"/>
    <w:rsid w:val="00744CB4"/>
    <w:rsid w:val="00746A34"/>
    <w:rsid w:val="00761FC9"/>
    <w:rsid w:val="0077506E"/>
    <w:rsid w:val="0078649E"/>
    <w:rsid w:val="00792BED"/>
    <w:rsid w:val="007C2DE5"/>
    <w:rsid w:val="0081121D"/>
    <w:rsid w:val="00823217"/>
    <w:rsid w:val="00852EA4"/>
    <w:rsid w:val="008839C6"/>
    <w:rsid w:val="008949BD"/>
    <w:rsid w:val="008E1D35"/>
    <w:rsid w:val="009540D7"/>
    <w:rsid w:val="009A664F"/>
    <w:rsid w:val="009B4331"/>
    <w:rsid w:val="009B762A"/>
    <w:rsid w:val="009C6AC2"/>
    <w:rsid w:val="009F17B9"/>
    <w:rsid w:val="00A0473C"/>
    <w:rsid w:val="00A120C7"/>
    <w:rsid w:val="00A13466"/>
    <w:rsid w:val="00A16FCE"/>
    <w:rsid w:val="00A2582A"/>
    <w:rsid w:val="00A442C8"/>
    <w:rsid w:val="00A53DC8"/>
    <w:rsid w:val="00A63586"/>
    <w:rsid w:val="00A66865"/>
    <w:rsid w:val="00A870E9"/>
    <w:rsid w:val="00AB3F76"/>
    <w:rsid w:val="00B6010F"/>
    <w:rsid w:val="00B645F5"/>
    <w:rsid w:val="00B97881"/>
    <w:rsid w:val="00BA1F1C"/>
    <w:rsid w:val="00BC0DD7"/>
    <w:rsid w:val="00BC42BD"/>
    <w:rsid w:val="00C352A3"/>
    <w:rsid w:val="00C52E19"/>
    <w:rsid w:val="00C64627"/>
    <w:rsid w:val="00C8788D"/>
    <w:rsid w:val="00CA7EF1"/>
    <w:rsid w:val="00CC0346"/>
    <w:rsid w:val="00CC4F4D"/>
    <w:rsid w:val="00CC5645"/>
    <w:rsid w:val="00D13981"/>
    <w:rsid w:val="00D25611"/>
    <w:rsid w:val="00D47134"/>
    <w:rsid w:val="00D54777"/>
    <w:rsid w:val="00D82706"/>
    <w:rsid w:val="00DB4EDE"/>
    <w:rsid w:val="00DC53D7"/>
    <w:rsid w:val="00E053FF"/>
    <w:rsid w:val="00E87413"/>
    <w:rsid w:val="00ED5355"/>
    <w:rsid w:val="00ED6B4F"/>
    <w:rsid w:val="00F55B7C"/>
    <w:rsid w:val="00F8255B"/>
    <w:rsid w:val="00F93CD9"/>
    <w:rsid w:val="00FF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41A2"/>
  <w14:defaultImageDpi w14:val="32767"/>
  <w15:chartTrackingRefBased/>
  <w15:docId w15:val="{CD6C1454-CCC4-294A-915E-EB4F318A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11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582A"/>
    <w:pPr>
      <w:spacing w:before="147" w:after="147" w:line="330" w:lineRule="atLeast"/>
    </w:pPr>
    <w:rPr>
      <w:rFonts w:ascii="VAG Rounded Std Light" w:hAnsi="VAG Rounded Std Light"/>
      <w:sz w:val="36"/>
      <w:szCs w:val="36"/>
      <w:lang w:eastAsia="en-GB"/>
    </w:rPr>
  </w:style>
  <w:style w:type="character" w:customStyle="1" w:styleId="s1">
    <w:name w:val="s1"/>
    <w:rsid w:val="00A2582A"/>
    <w:rPr>
      <w:rFonts w:ascii="VAG Rounded Std" w:hAnsi="VAG Rounded Std" w:hint="default"/>
      <w:spacing w:val="3"/>
      <w:sz w:val="36"/>
      <w:szCs w:val="36"/>
    </w:rPr>
  </w:style>
  <w:style w:type="character" w:customStyle="1" w:styleId="s2">
    <w:name w:val="s2"/>
    <w:rsid w:val="00A2582A"/>
    <w:rPr>
      <w:spacing w:val="3"/>
    </w:rPr>
  </w:style>
  <w:style w:type="paragraph" w:styleId="Header">
    <w:name w:val="header"/>
    <w:basedOn w:val="Normal"/>
    <w:link w:val="HeaderChar"/>
    <w:uiPriority w:val="99"/>
    <w:unhideWhenUsed/>
    <w:rsid w:val="00691614"/>
    <w:pPr>
      <w:tabs>
        <w:tab w:val="center" w:pos="4513"/>
        <w:tab w:val="right" w:pos="9026"/>
      </w:tabs>
    </w:pPr>
  </w:style>
  <w:style w:type="character" w:customStyle="1" w:styleId="HeaderChar">
    <w:name w:val="Header Char"/>
    <w:basedOn w:val="DefaultParagraphFont"/>
    <w:link w:val="Header"/>
    <w:uiPriority w:val="99"/>
    <w:rsid w:val="00691614"/>
  </w:style>
  <w:style w:type="paragraph" w:styleId="Footer">
    <w:name w:val="footer"/>
    <w:basedOn w:val="Normal"/>
    <w:link w:val="FooterChar"/>
    <w:uiPriority w:val="99"/>
    <w:unhideWhenUsed/>
    <w:rsid w:val="00691614"/>
    <w:pPr>
      <w:tabs>
        <w:tab w:val="center" w:pos="4513"/>
        <w:tab w:val="right" w:pos="9026"/>
      </w:tabs>
    </w:pPr>
  </w:style>
  <w:style w:type="character" w:customStyle="1" w:styleId="FooterChar">
    <w:name w:val="Footer Char"/>
    <w:basedOn w:val="DefaultParagraphFont"/>
    <w:link w:val="Footer"/>
    <w:uiPriority w:val="99"/>
    <w:rsid w:val="00691614"/>
  </w:style>
  <w:style w:type="table" w:styleId="TableGrid">
    <w:name w:val="Table Grid"/>
    <w:basedOn w:val="TableNormal"/>
    <w:uiPriority w:val="39"/>
    <w:rsid w:val="0042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4331"/>
  </w:style>
  <w:style w:type="paragraph" w:customStyle="1" w:styleId="p2">
    <w:name w:val="p2"/>
    <w:basedOn w:val="Normal"/>
    <w:rsid w:val="00C8788D"/>
    <w:pPr>
      <w:spacing w:after="98" w:line="195" w:lineRule="atLeast"/>
    </w:pPr>
    <w:rPr>
      <w:rFonts w:ascii="VAG Rounded Std Light" w:hAnsi="VAG Rounded Std Light"/>
      <w:color w:val="645F64"/>
      <w:sz w:val="14"/>
      <w:szCs w:val="14"/>
      <w:lang w:eastAsia="en-GB"/>
    </w:rPr>
  </w:style>
  <w:style w:type="paragraph" w:customStyle="1" w:styleId="ColorfulList-Accent11">
    <w:name w:val="Colorful List - Accent 11"/>
    <w:basedOn w:val="Normal"/>
    <w:uiPriority w:val="34"/>
    <w:qFormat/>
    <w:rsid w:val="00006E83"/>
    <w:pPr>
      <w:ind w:left="720"/>
      <w:contextualSpacing/>
    </w:pPr>
  </w:style>
  <w:style w:type="paragraph" w:customStyle="1" w:styleId="EISF115grey">
    <w:name w:val="EISF 11.5 grey"/>
    <w:basedOn w:val="Normal"/>
    <w:qFormat/>
    <w:rsid w:val="00F55B7C"/>
    <w:pPr>
      <w:spacing w:after="98" w:line="276" w:lineRule="auto"/>
    </w:pPr>
    <w:rPr>
      <w:rFonts w:ascii="Arial" w:hAnsi="Arial" w:cs="Arial"/>
      <w:color w:val="717073" w:themeColor="text1"/>
      <w:sz w:val="23"/>
      <w:szCs w:val="23"/>
      <w:lang w:eastAsia="en-GB"/>
    </w:rPr>
  </w:style>
  <w:style w:type="paragraph" w:customStyle="1" w:styleId="EISF115boldgrey">
    <w:name w:val="EISF 11.5 bold grey"/>
    <w:basedOn w:val="EISF115grey"/>
    <w:qFormat/>
    <w:rsid w:val="00F55B7C"/>
    <w:rPr>
      <w:b/>
      <w:lang w:val="en-US"/>
    </w:rPr>
  </w:style>
  <w:style w:type="paragraph" w:customStyle="1" w:styleId="EISF115bullets">
    <w:name w:val="EISF 11.5 bullets"/>
    <w:basedOn w:val="ColorfulList-Accent11"/>
    <w:qFormat/>
    <w:rsid w:val="005B7877"/>
    <w:pPr>
      <w:numPr>
        <w:numId w:val="1"/>
      </w:numPr>
      <w:spacing w:after="98" w:line="276" w:lineRule="auto"/>
      <w:ind w:left="360"/>
    </w:pPr>
    <w:rPr>
      <w:rFonts w:ascii="Arial" w:hAnsi="Arial" w:cs="Arial"/>
      <w:color w:val="717073" w:themeColor="text1"/>
      <w:sz w:val="23"/>
      <w:szCs w:val="23"/>
      <w:lang w:eastAsia="en-GB"/>
    </w:rPr>
  </w:style>
  <w:style w:type="paragraph" w:customStyle="1" w:styleId="EISF18headturq">
    <w:name w:val="EISF 18 head turq"/>
    <w:basedOn w:val="EISF115grey"/>
    <w:qFormat/>
    <w:rsid w:val="00A16FCE"/>
    <w:rPr>
      <w:color w:val="006E7F" w:themeColor="accent1"/>
      <w:sz w:val="36"/>
      <w:szCs w:val="36"/>
    </w:rPr>
  </w:style>
  <w:style w:type="paragraph" w:customStyle="1" w:styleId="EISF28headregturq">
    <w:name w:val="EISF 28 head reg turq"/>
    <w:basedOn w:val="Normal"/>
    <w:qFormat/>
    <w:rsid w:val="00F55B7C"/>
    <w:pPr>
      <w:spacing w:before="147" w:after="147" w:line="330" w:lineRule="atLeast"/>
      <w:ind w:left="2520"/>
    </w:pPr>
    <w:rPr>
      <w:rFonts w:ascii="Arial" w:hAnsi="Arial" w:cs="Arial"/>
      <w:noProof/>
      <w:color w:val="006E7F" w:themeColor="accent1"/>
      <w:spacing w:val="3"/>
      <w:sz w:val="56"/>
      <w:szCs w:val="56"/>
      <w:lang w:eastAsia="en-GB"/>
    </w:rPr>
  </w:style>
  <w:style w:type="paragraph" w:customStyle="1" w:styleId="EISF28headboldturq">
    <w:name w:val="EISF 28 head bold turq"/>
    <w:basedOn w:val="Normal"/>
    <w:qFormat/>
    <w:rsid w:val="00F55B7C"/>
    <w:pPr>
      <w:spacing w:before="147" w:after="147" w:line="330" w:lineRule="atLeast"/>
      <w:ind w:left="2520"/>
    </w:pPr>
    <w:rPr>
      <w:rFonts w:ascii="Arial" w:hAnsi="Arial" w:cs="Arial"/>
      <w:b/>
      <w:bCs/>
      <w:color w:val="006E7F" w:themeColor="accent1"/>
      <w:sz w:val="56"/>
      <w:szCs w:val="56"/>
      <w:lang w:eastAsia="en-GB"/>
    </w:rPr>
  </w:style>
  <w:style w:type="paragraph" w:customStyle="1" w:styleId="EISF14headbold">
    <w:name w:val="EISF 14 head bold"/>
    <w:basedOn w:val="EISF18headturq"/>
    <w:qFormat/>
    <w:rsid w:val="001E5EAF"/>
    <w:rPr>
      <w:b/>
      <w:sz w:val="28"/>
      <w:szCs w:val="28"/>
    </w:rPr>
  </w:style>
  <w:style w:type="paragraph" w:styleId="BalloonText">
    <w:name w:val="Balloon Text"/>
    <w:basedOn w:val="Normal"/>
    <w:link w:val="BalloonTextChar"/>
    <w:uiPriority w:val="99"/>
    <w:semiHidden/>
    <w:unhideWhenUsed/>
    <w:rsid w:val="005C216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216F"/>
    <w:rPr>
      <w:rFonts w:ascii="Times New Roman" w:hAnsi="Times New Roman"/>
      <w:sz w:val="18"/>
      <w:szCs w:val="18"/>
    </w:rPr>
  </w:style>
  <w:style w:type="paragraph" w:customStyle="1" w:styleId="95boxinstructions">
    <w:name w:val="9.5 box instructions"/>
    <w:basedOn w:val="EISF115grey"/>
    <w:qFormat/>
    <w:rsid w:val="00613388"/>
    <w:pPr>
      <w:snapToGrid w:val="0"/>
      <w:spacing w:before="40" w:after="40" w:line="240" w:lineRule="auto"/>
    </w:pPr>
    <w:rPr>
      <w:i/>
      <w:sz w:val="19"/>
      <w:szCs w:val="19"/>
    </w:rPr>
  </w:style>
  <w:style w:type="paragraph" w:customStyle="1" w:styleId="EISF10ptbodyspaceafter">
    <w:name w:val="EISF 10pt body space after"/>
    <w:basedOn w:val="Normal"/>
    <w:uiPriority w:val="99"/>
    <w:rsid w:val="00315FEF"/>
    <w:pPr>
      <w:suppressAutoHyphens/>
      <w:autoSpaceDE w:val="0"/>
      <w:autoSpaceDN w:val="0"/>
      <w:adjustRightInd w:val="0"/>
      <w:spacing w:after="130" w:line="260" w:lineRule="atLeast"/>
      <w:textAlignment w:val="center"/>
    </w:pPr>
    <w:rPr>
      <w:rFonts w:ascii="VAG Rounded Std Thin" w:hAnsi="VAG Rounded Std Thin" w:cs="VAG Rounded Std Thin"/>
      <w:color w:val="514C51"/>
      <w:sz w:val="20"/>
      <w:szCs w:val="20"/>
    </w:rPr>
  </w:style>
  <w:style w:type="character" w:customStyle="1" w:styleId="Bold10ptgrey">
    <w:name w:val="Bold 10pt grey"/>
    <w:uiPriority w:val="99"/>
    <w:rsid w:val="00D54777"/>
    <w:rPr>
      <w:b/>
      <w:bCs/>
      <w:color w:val="514C51"/>
      <w:spacing w:val="0"/>
      <w:sz w:val="20"/>
      <w:szCs w:val="20"/>
      <w:u w:val="none"/>
      <w:vertAlign w:val="baseline"/>
    </w:rPr>
  </w:style>
  <w:style w:type="paragraph" w:customStyle="1" w:styleId="EISFHeadC">
    <w:name w:val="EISF Head C"/>
    <w:basedOn w:val="Normal"/>
    <w:uiPriority w:val="99"/>
    <w:rsid w:val="009A664F"/>
    <w:pPr>
      <w:suppressAutoHyphens/>
      <w:autoSpaceDE w:val="0"/>
      <w:autoSpaceDN w:val="0"/>
      <w:adjustRightInd w:val="0"/>
      <w:spacing w:before="227" w:after="130" w:line="260" w:lineRule="atLeast"/>
      <w:textAlignment w:val="center"/>
    </w:pPr>
    <w:rPr>
      <w:rFonts w:ascii="VAG Rounded Std Thin" w:hAnsi="VAG Rounded Std Thin" w:cs="VAG Rounded Std Thin"/>
      <w:b/>
      <w:bCs/>
      <w:color w:val="007F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9677">
      <w:bodyDiv w:val="1"/>
      <w:marLeft w:val="0"/>
      <w:marRight w:val="0"/>
      <w:marTop w:val="0"/>
      <w:marBottom w:val="0"/>
      <w:divBdr>
        <w:top w:val="none" w:sz="0" w:space="0" w:color="auto"/>
        <w:left w:val="none" w:sz="0" w:space="0" w:color="auto"/>
        <w:bottom w:val="none" w:sz="0" w:space="0" w:color="auto"/>
        <w:right w:val="none" w:sz="0" w:space="0" w:color="auto"/>
      </w:divBdr>
    </w:div>
    <w:div w:id="249200367">
      <w:bodyDiv w:val="1"/>
      <w:marLeft w:val="0"/>
      <w:marRight w:val="0"/>
      <w:marTop w:val="0"/>
      <w:marBottom w:val="0"/>
      <w:divBdr>
        <w:top w:val="none" w:sz="0" w:space="0" w:color="auto"/>
        <w:left w:val="none" w:sz="0" w:space="0" w:color="auto"/>
        <w:bottom w:val="none" w:sz="0" w:space="0" w:color="auto"/>
        <w:right w:val="none" w:sz="0" w:space="0" w:color="auto"/>
      </w:divBdr>
    </w:div>
    <w:div w:id="287854613">
      <w:bodyDiv w:val="1"/>
      <w:marLeft w:val="0"/>
      <w:marRight w:val="0"/>
      <w:marTop w:val="0"/>
      <w:marBottom w:val="0"/>
      <w:divBdr>
        <w:top w:val="none" w:sz="0" w:space="0" w:color="auto"/>
        <w:left w:val="none" w:sz="0" w:space="0" w:color="auto"/>
        <w:bottom w:val="none" w:sz="0" w:space="0" w:color="auto"/>
        <w:right w:val="none" w:sz="0" w:space="0" w:color="auto"/>
      </w:divBdr>
    </w:div>
    <w:div w:id="315035158">
      <w:bodyDiv w:val="1"/>
      <w:marLeft w:val="0"/>
      <w:marRight w:val="0"/>
      <w:marTop w:val="0"/>
      <w:marBottom w:val="0"/>
      <w:divBdr>
        <w:top w:val="none" w:sz="0" w:space="0" w:color="auto"/>
        <w:left w:val="none" w:sz="0" w:space="0" w:color="auto"/>
        <w:bottom w:val="none" w:sz="0" w:space="0" w:color="auto"/>
        <w:right w:val="none" w:sz="0" w:space="0" w:color="auto"/>
      </w:divBdr>
    </w:div>
    <w:div w:id="319231166">
      <w:bodyDiv w:val="1"/>
      <w:marLeft w:val="0"/>
      <w:marRight w:val="0"/>
      <w:marTop w:val="0"/>
      <w:marBottom w:val="0"/>
      <w:divBdr>
        <w:top w:val="none" w:sz="0" w:space="0" w:color="auto"/>
        <w:left w:val="none" w:sz="0" w:space="0" w:color="auto"/>
        <w:bottom w:val="none" w:sz="0" w:space="0" w:color="auto"/>
        <w:right w:val="none" w:sz="0" w:space="0" w:color="auto"/>
      </w:divBdr>
    </w:div>
    <w:div w:id="361980274">
      <w:bodyDiv w:val="1"/>
      <w:marLeft w:val="0"/>
      <w:marRight w:val="0"/>
      <w:marTop w:val="0"/>
      <w:marBottom w:val="0"/>
      <w:divBdr>
        <w:top w:val="none" w:sz="0" w:space="0" w:color="auto"/>
        <w:left w:val="none" w:sz="0" w:space="0" w:color="auto"/>
        <w:bottom w:val="none" w:sz="0" w:space="0" w:color="auto"/>
        <w:right w:val="none" w:sz="0" w:space="0" w:color="auto"/>
      </w:divBdr>
    </w:div>
    <w:div w:id="362555014">
      <w:bodyDiv w:val="1"/>
      <w:marLeft w:val="0"/>
      <w:marRight w:val="0"/>
      <w:marTop w:val="0"/>
      <w:marBottom w:val="0"/>
      <w:divBdr>
        <w:top w:val="none" w:sz="0" w:space="0" w:color="auto"/>
        <w:left w:val="none" w:sz="0" w:space="0" w:color="auto"/>
        <w:bottom w:val="none" w:sz="0" w:space="0" w:color="auto"/>
        <w:right w:val="none" w:sz="0" w:space="0" w:color="auto"/>
      </w:divBdr>
    </w:div>
    <w:div w:id="381757392">
      <w:bodyDiv w:val="1"/>
      <w:marLeft w:val="0"/>
      <w:marRight w:val="0"/>
      <w:marTop w:val="0"/>
      <w:marBottom w:val="0"/>
      <w:divBdr>
        <w:top w:val="none" w:sz="0" w:space="0" w:color="auto"/>
        <w:left w:val="none" w:sz="0" w:space="0" w:color="auto"/>
        <w:bottom w:val="none" w:sz="0" w:space="0" w:color="auto"/>
        <w:right w:val="none" w:sz="0" w:space="0" w:color="auto"/>
      </w:divBdr>
    </w:div>
    <w:div w:id="510724437">
      <w:bodyDiv w:val="1"/>
      <w:marLeft w:val="0"/>
      <w:marRight w:val="0"/>
      <w:marTop w:val="0"/>
      <w:marBottom w:val="0"/>
      <w:divBdr>
        <w:top w:val="none" w:sz="0" w:space="0" w:color="auto"/>
        <w:left w:val="none" w:sz="0" w:space="0" w:color="auto"/>
        <w:bottom w:val="none" w:sz="0" w:space="0" w:color="auto"/>
        <w:right w:val="none" w:sz="0" w:space="0" w:color="auto"/>
      </w:divBdr>
    </w:div>
    <w:div w:id="648367157">
      <w:bodyDiv w:val="1"/>
      <w:marLeft w:val="0"/>
      <w:marRight w:val="0"/>
      <w:marTop w:val="0"/>
      <w:marBottom w:val="0"/>
      <w:divBdr>
        <w:top w:val="none" w:sz="0" w:space="0" w:color="auto"/>
        <w:left w:val="none" w:sz="0" w:space="0" w:color="auto"/>
        <w:bottom w:val="none" w:sz="0" w:space="0" w:color="auto"/>
        <w:right w:val="none" w:sz="0" w:space="0" w:color="auto"/>
      </w:divBdr>
    </w:div>
    <w:div w:id="668294834">
      <w:bodyDiv w:val="1"/>
      <w:marLeft w:val="0"/>
      <w:marRight w:val="0"/>
      <w:marTop w:val="0"/>
      <w:marBottom w:val="0"/>
      <w:divBdr>
        <w:top w:val="none" w:sz="0" w:space="0" w:color="auto"/>
        <w:left w:val="none" w:sz="0" w:space="0" w:color="auto"/>
        <w:bottom w:val="none" w:sz="0" w:space="0" w:color="auto"/>
        <w:right w:val="none" w:sz="0" w:space="0" w:color="auto"/>
      </w:divBdr>
    </w:div>
    <w:div w:id="708839576">
      <w:bodyDiv w:val="1"/>
      <w:marLeft w:val="0"/>
      <w:marRight w:val="0"/>
      <w:marTop w:val="0"/>
      <w:marBottom w:val="0"/>
      <w:divBdr>
        <w:top w:val="none" w:sz="0" w:space="0" w:color="auto"/>
        <w:left w:val="none" w:sz="0" w:space="0" w:color="auto"/>
        <w:bottom w:val="none" w:sz="0" w:space="0" w:color="auto"/>
        <w:right w:val="none" w:sz="0" w:space="0" w:color="auto"/>
      </w:divBdr>
    </w:div>
    <w:div w:id="781220156">
      <w:bodyDiv w:val="1"/>
      <w:marLeft w:val="0"/>
      <w:marRight w:val="0"/>
      <w:marTop w:val="0"/>
      <w:marBottom w:val="0"/>
      <w:divBdr>
        <w:top w:val="none" w:sz="0" w:space="0" w:color="auto"/>
        <w:left w:val="none" w:sz="0" w:space="0" w:color="auto"/>
        <w:bottom w:val="none" w:sz="0" w:space="0" w:color="auto"/>
        <w:right w:val="none" w:sz="0" w:space="0" w:color="auto"/>
      </w:divBdr>
    </w:div>
    <w:div w:id="792821066">
      <w:bodyDiv w:val="1"/>
      <w:marLeft w:val="0"/>
      <w:marRight w:val="0"/>
      <w:marTop w:val="0"/>
      <w:marBottom w:val="0"/>
      <w:divBdr>
        <w:top w:val="none" w:sz="0" w:space="0" w:color="auto"/>
        <w:left w:val="none" w:sz="0" w:space="0" w:color="auto"/>
        <w:bottom w:val="none" w:sz="0" w:space="0" w:color="auto"/>
        <w:right w:val="none" w:sz="0" w:space="0" w:color="auto"/>
      </w:divBdr>
    </w:div>
    <w:div w:id="797726076">
      <w:bodyDiv w:val="1"/>
      <w:marLeft w:val="0"/>
      <w:marRight w:val="0"/>
      <w:marTop w:val="0"/>
      <w:marBottom w:val="0"/>
      <w:divBdr>
        <w:top w:val="none" w:sz="0" w:space="0" w:color="auto"/>
        <w:left w:val="none" w:sz="0" w:space="0" w:color="auto"/>
        <w:bottom w:val="none" w:sz="0" w:space="0" w:color="auto"/>
        <w:right w:val="none" w:sz="0" w:space="0" w:color="auto"/>
      </w:divBdr>
    </w:div>
    <w:div w:id="839664626">
      <w:bodyDiv w:val="1"/>
      <w:marLeft w:val="0"/>
      <w:marRight w:val="0"/>
      <w:marTop w:val="0"/>
      <w:marBottom w:val="0"/>
      <w:divBdr>
        <w:top w:val="none" w:sz="0" w:space="0" w:color="auto"/>
        <w:left w:val="none" w:sz="0" w:space="0" w:color="auto"/>
        <w:bottom w:val="none" w:sz="0" w:space="0" w:color="auto"/>
        <w:right w:val="none" w:sz="0" w:space="0" w:color="auto"/>
      </w:divBdr>
    </w:div>
    <w:div w:id="874268945">
      <w:bodyDiv w:val="1"/>
      <w:marLeft w:val="0"/>
      <w:marRight w:val="0"/>
      <w:marTop w:val="0"/>
      <w:marBottom w:val="0"/>
      <w:divBdr>
        <w:top w:val="none" w:sz="0" w:space="0" w:color="auto"/>
        <w:left w:val="none" w:sz="0" w:space="0" w:color="auto"/>
        <w:bottom w:val="none" w:sz="0" w:space="0" w:color="auto"/>
        <w:right w:val="none" w:sz="0" w:space="0" w:color="auto"/>
      </w:divBdr>
    </w:div>
    <w:div w:id="876509449">
      <w:bodyDiv w:val="1"/>
      <w:marLeft w:val="0"/>
      <w:marRight w:val="0"/>
      <w:marTop w:val="0"/>
      <w:marBottom w:val="0"/>
      <w:divBdr>
        <w:top w:val="none" w:sz="0" w:space="0" w:color="auto"/>
        <w:left w:val="none" w:sz="0" w:space="0" w:color="auto"/>
        <w:bottom w:val="none" w:sz="0" w:space="0" w:color="auto"/>
        <w:right w:val="none" w:sz="0" w:space="0" w:color="auto"/>
      </w:divBdr>
    </w:div>
    <w:div w:id="965164947">
      <w:bodyDiv w:val="1"/>
      <w:marLeft w:val="0"/>
      <w:marRight w:val="0"/>
      <w:marTop w:val="0"/>
      <w:marBottom w:val="0"/>
      <w:divBdr>
        <w:top w:val="none" w:sz="0" w:space="0" w:color="auto"/>
        <w:left w:val="none" w:sz="0" w:space="0" w:color="auto"/>
        <w:bottom w:val="none" w:sz="0" w:space="0" w:color="auto"/>
        <w:right w:val="none" w:sz="0" w:space="0" w:color="auto"/>
      </w:divBdr>
    </w:div>
    <w:div w:id="1099519107">
      <w:bodyDiv w:val="1"/>
      <w:marLeft w:val="0"/>
      <w:marRight w:val="0"/>
      <w:marTop w:val="0"/>
      <w:marBottom w:val="0"/>
      <w:divBdr>
        <w:top w:val="none" w:sz="0" w:space="0" w:color="auto"/>
        <w:left w:val="none" w:sz="0" w:space="0" w:color="auto"/>
        <w:bottom w:val="none" w:sz="0" w:space="0" w:color="auto"/>
        <w:right w:val="none" w:sz="0" w:space="0" w:color="auto"/>
      </w:divBdr>
    </w:div>
    <w:div w:id="1132407587">
      <w:bodyDiv w:val="1"/>
      <w:marLeft w:val="0"/>
      <w:marRight w:val="0"/>
      <w:marTop w:val="0"/>
      <w:marBottom w:val="0"/>
      <w:divBdr>
        <w:top w:val="none" w:sz="0" w:space="0" w:color="auto"/>
        <w:left w:val="none" w:sz="0" w:space="0" w:color="auto"/>
        <w:bottom w:val="none" w:sz="0" w:space="0" w:color="auto"/>
        <w:right w:val="none" w:sz="0" w:space="0" w:color="auto"/>
      </w:divBdr>
    </w:div>
    <w:div w:id="1160466306">
      <w:bodyDiv w:val="1"/>
      <w:marLeft w:val="0"/>
      <w:marRight w:val="0"/>
      <w:marTop w:val="0"/>
      <w:marBottom w:val="0"/>
      <w:divBdr>
        <w:top w:val="none" w:sz="0" w:space="0" w:color="auto"/>
        <w:left w:val="none" w:sz="0" w:space="0" w:color="auto"/>
        <w:bottom w:val="none" w:sz="0" w:space="0" w:color="auto"/>
        <w:right w:val="none" w:sz="0" w:space="0" w:color="auto"/>
      </w:divBdr>
    </w:div>
    <w:div w:id="1188913359">
      <w:bodyDiv w:val="1"/>
      <w:marLeft w:val="0"/>
      <w:marRight w:val="0"/>
      <w:marTop w:val="0"/>
      <w:marBottom w:val="0"/>
      <w:divBdr>
        <w:top w:val="none" w:sz="0" w:space="0" w:color="auto"/>
        <w:left w:val="none" w:sz="0" w:space="0" w:color="auto"/>
        <w:bottom w:val="none" w:sz="0" w:space="0" w:color="auto"/>
        <w:right w:val="none" w:sz="0" w:space="0" w:color="auto"/>
      </w:divBdr>
    </w:div>
    <w:div w:id="1298684202">
      <w:bodyDiv w:val="1"/>
      <w:marLeft w:val="0"/>
      <w:marRight w:val="0"/>
      <w:marTop w:val="0"/>
      <w:marBottom w:val="0"/>
      <w:divBdr>
        <w:top w:val="none" w:sz="0" w:space="0" w:color="auto"/>
        <w:left w:val="none" w:sz="0" w:space="0" w:color="auto"/>
        <w:bottom w:val="none" w:sz="0" w:space="0" w:color="auto"/>
        <w:right w:val="none" w:sz="0" w:space="0" w:color="auto"/>
      </w:divBdr>
    </w:div>
    <w:div w:id="1334643778">
      <w:bodyDiv w:val="1"/>
      <w:marLeft w:val="0"/>
      <w:marRight w:val="0"/>
      <w:marTop w:val="0"/>
      <w:marBottom w:val="0"/>
      <w:divBdr>
        <w:top w:val="none" w:sz="0" w:space="0" w:color="auto"/>
        <w:left w:val="none" w:sz="0" w:space="0" w:color="auto"/>
        <w:bottom w:val="none" w:sz="0" w:space="0" w:color="auto"/>
        <w:right w:val="none" w:sz="0" w:space="0" w:color="auto"/>
      </w:divBdr>
    </w:div>
    <w:div w:id="1507329808">
      <w:bodyDiv w:val="1"/>
      <w:marLeft w:val="0"/>
      <w:marRight w:val="0"/>
      <w:marTop w:val="0"/>
      <w:marBottom w:val="0"/>
      <w:divBdr>
        <w:top w:val="none" w:sz="0" w:space="0" w:color="auto"/>
        <w:left w:val="none" w:sz="0" w:space="0" w:color="auto"/>
        <w:bottom w:val="none" w:sz="0" w:space="0" w:color="auto"/>
        <w:right w:val="none" w:sz="0" w:space="0" w:color="auto"/>
      </w:divBdr>
    </w:div>
    <w:div w:id="1529101159">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
    <w:div w:id="1668170653">
      <w:bodyDiv w:val="1"/>
      <w:marLeft w:val="0"/>
      <w:marRight w:val="0"/>
      <w:marTop w:val="0"/>
      <w:marBottom w:val="0"/>
      <w:divBdr>
        <w:top w:val="none" w:sz="0" w:space="0" w:color="auto"/>
        <w:left w:val="none" w:sz="0" w:space="0" w:color="auto"/>
        <w:bottom w:val="none" w:sz="0" w:space="0" w:color="auto"/>
        <w:right w:val="none" w:sz="0" w:space="0" w:color="auto"/>
      </w:divBdr>
    </w:div>
    <w:div w:id="1691492039">
      <w:bodyDiv w:val="1"/>
      <w:marLeft w:val="0"/>
      <w:marRight w:val="0"/>
      <w:marTop w:val="0"/>
      <w:marBottom w:val="0"/>
      <w:divBdr>
        <w:top w:val="none" w:sz="0" w:space="0" w:color="auto"/>
        <w:left w:val="none" w:sz="0" w:space="0" w:color="auto"/>
        <w:bottom w:val="none" w:sz="0" w:space="0" w:color="auto"/>
        <w:right w:val="none" w:sz="0" w:space="0" w:color="auto"/>
      </w:divBdr>
    </w:div>
    <w:div w:id="1829251515">
      <w:bodyDiv w:val="1"/>
      <w:marLeft w:val="0"/>
      <w:marRight w:val="0"/>
      <w:marTop w:val="0"/>
      <w:marBottom w:val="0"/>
      <w:divBdr>
        <w:top w:val="none" w:sz="0" w:space="0" w:color="auto"/>
        <w:left w:val="none" w:sz="0" w:space="0" w:color="auto"/>
        <w:bottom w:val="none" w:sz="0" w:space="0" w:color="auto"/>
        <w:right w:val="none" w:sz="0" w:space="0" w:color="auto"/>
      </w:divBdr>
    </w:div>
    <w:div w:id="1858155688">
      <w:bodyDiv w:val="1"/>
      <w:marLeft w:val="0"/>
      <w:marRight w:val="0"/>
      <w:marTop w:val="0"/>
      <w:marBottom w:val="0"/>
      <w:divBdr>
        <w:top w:val="none" w:sz="0" w:space="0" w:color="auto"/>
        <w:left w:val="none" w:sz="0" w:space="0" w:color="auto"/>
        <w:bottom w:val="none" w:sz="0" w:space="0" w:color="auto"/>
        <w:right w:val="none" w:sz="0" w:space="0" w:color="auto"/>
      </w:divBdr>
    </w:div>
    <w:div w:id="1860311766">
      <w:bodyDiv w:val="1"/>
      <w:marLeft w:val="0"/>
      <w:marRight w:val="0"/>
      <w:marTop w:val="0"/>
      <w:marBottom w:val="0"/>
      <w:divBdr>
        <w:top w:val="none" w:sz="0" w:space="0" w:color="auto"/>
        <w:left w:val="none" w:sz="0" w:space="0" w:color="auto"/>
        <w:bottom w:val="none" w:sz="0" w:space="0" w:color="auto"/>
        <w:right w:val="none" w:sz="0" w:space="0" w:color="auto"/>
      </w:divBdr>
    </w:div>
    <w:div w:id="1922369940">
      <w:bodyDiv w:val="1"/>
      <w:marLeft w:val="0"/>
      <w:marRight w:val="0"/>
      <w:marTop w:val="0"/>
      <w:marBottom w:val="0"/>
      <w:divBdr>
        <w:top w:val="none" w:sz="0" w:space="0" w:color="auto"/>
        <w:left w:val="none" w:sz="0" w:space="0" w:color="auto"/>
        <w:bottom w:val="none" w:sz="0" w:space="0" w:color="auto"/>
        <w:right w:val="none" w:sz="0" w:space="0" w:color="auto"/>
      </w:divBdr>
    </w:div>
    <w:div w:id="1934972911">
      <w:bodyDiv w:val="1"/>
      <w:marLeft w:val="0"/>
      <w:marRight w:val="0"/>
      <w:marTop w:val="0"/>
      <w:marBottom w:val="0"/>
      <w:divBdr>
        <w:top w:val="none" w:sz="0" w:space="0" w:color="auto"/>
        <w:left w:val="none" w:sz="0" w:space="0" w:color="auto"/>
        <w:bottom w:val="none" w:sz="0" w:space="0" w:color="auto"/>
        <w:right w:val="none" w:sz="0" w:space="0" w:color="auto"/>
      </w:divBdr>
    </w:div>
    <w:div w:id="1970282732">
      <w:bodyDiv w:val="1"/>
      <w:marLeft w:val="0"/>
      <w:marRight w:val="0"/>
      <w:marTop w:val="0"/>
      <w:marBottom w:val="0"/>
      <w:divBdr>
        <w:top w:val="none" w:sz="0" w:space="0" w:color="auto"/>
        <w:left w:val="none" w:sz="0" w:space="0" w:color="auto"/>
        <w:bottom w:val="none" w:sz="0" w:space="0" w:color="auto"/>
        <w:right w:val="none" w:sz="0" w:space="0" w:color="auto"/>
      </w:divBdr>
    </w:div>
    <w:div w:id="1987078645">
      <w:bodyDiv w:val="1"/>
      <w:marLeft w:val="0"/>
      <w:marRight w:val="0"/>
      <w:marTop w:val="0"/>
      <w:marBottom w:val="0"/>
      <w:divBdr>
        <w:top w:val="none" w:sz="0" w:space="0" w:color="auto"/>
        <w:left w:val="none" w:sz="0" w:space="0" w:color="auto"/>
        <w:bottom w:val="none" w:sz="0" w:space="0" w:color="auto"/>
        <w:right w:val="none" w:sz="0" w:space="0" w:color="auto"/>
      </w:divBdr>
    </w:div>
    <w:div w:id="2138450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S test 1">
  <a:themeElements>
    <a:clrScheme name="EISF TURQ LIME">
      <a:dk1>
        <a:srgbClr val="717073"/>
      </a:dk1>
      <a:lt1>
        <a:srgbClr val="FFFFFF"/>
      </a:lt1>
      <a:dk2>
        <a:srgbClr val="44546A"/>
      </a:dk2>
      <a:lt2>
        <a:srgbClr val="E7E6E6"/>
      </a:lt2>
      <a:accent1>
        <a:srgbClr val="006E7F"/>
      </a:accent1>
      <a:accent2>
        <a:srgbClr val="9ACA3C"/>
      </a:accent2>
      <a:accent3>
        <a:srgbClr val="A5A5A5"/>
      </a:accent3>
      <a:accent4>
        <a:srgbClr val="E7F0CE"/>
      </a:accent4>
      <a:accent5>
        <a:srgbClr val="D8E7BA"/>
      </a:accent5>
      <a:accent6>
        <a:srgbClr val="70AD47"/>
      </a:accent6>
      <a:hlink>
        <a:srgbClr val="0563C1"/>
      </a:hlink>
      <a:folHlink>
        <a:srgbClr val="954F7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E7090F-EE24-6944-A4B6-31E0C27B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Links>
    <vt:vector size="12" baseType="variant">
      <vt:variant>
        <vt:i4>6684730</vt:i4>
      </vt:variant>
      <vt:variant>
        <vt:i4>9</vt:i4>
      </vt:variant>
      <vt:variant>
        <vt:i4>0</vt:i4>
      </vt:variant>
      <vt:variant>
        <vt:i4>5</vt:i4>
      </vt:variant>
      <vt:variant>
        <vt:lpwstr>http://www.eisf.eu/</vt:lpwstr>
      </vt:variant>
      <vt:variant>
        <vt:lpwstr/>
      </vt: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Adelicia Fairbanks</cp:lastModifiedBy>
  <cp:revision>10</cp:revision>
  <cp:lastPrinted>2019-03-04T17:31:00Z</cp:lastPrinted>
  <dcterms:created xsi:type="dcterms:W3CDTF">2019-03-07T15:13:00Z</dcterms:created>
  <dcterms:modified xsi:type="dcterms:W3CDTF">2019-03-11T18:03:00Z</dcterms:modified>
</cp:coreProperties>
</file>