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9F58" w14:textId="0E3E43EA" w:rsidR="00F8255B" w:rsidRPr="000A5C98" w:rsidRDefault="00F8255B" w:rsidP="00F8255B">
      <w:pPr>
        <w:spacing w:after="195" w:line="300" w:lineRule="auto"/>
        <w:ind w:left="-90" w:right="20"/>
        <w:rPr>
          <w:rFonts w:ascii="Arial" w:hAnsi="Arial" w:cs="Arial"/>
        </w:rPr>
      </w:pPr>
      <w:r>
        <w:rPr>
          <w:noProof/>
        </w:rPr>
        <mc:AlternateContent>
          <mc:Choice Requires="wps">
            <w:drawing>
              <wp:anchor distT="0" distB="0" distL="114300" distR="114300" simplePos="0" relativeHeight="251665920" behindDoc="1" locked="0" layoutInCell="1" allowOverlap="1" wp14:anchorId="1D1D4494" wp14:editId="06DC94A5">
                <wp:simplePos x="0" y="0"/>
                <wp:positionH relativeFrom="column">
                  <wp:posOffset>13335</wp:posOffset>
                </wp:positionH>
                <wp:positionV relativeFrom="paragraph">
                  <wp:posOffset>354965</wp:posOffset>
                </wp:positionV>
                <wp:extent cx="6126480" cy="852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52170"/>
                        </a:xfrm>
                        <a:prstGeom prst="rect">
                          <a:avLst/>
                        </a:prstGeom>
                        <a:solidFill>
                          <a:schemeClr val="accent4"/>
                        </a:solidFill>
                        <a:ln w="12700" cap="flat" cmpd="sng" algn="ctr">
                          <a:noFill/>
                          <a:prstDash val="solid"/>
                          <a:miter lim="800000"/>
                        </a:ln>
                        <a:effectLst/>
                      </wps:spPr>
                      <wps:txbx>
                        <w:txbxContent>
                          <w:p w14:paraId="62C15DDB" w14:textId="77777777" w:rsidR="00E13FE5" w:rsidRPr="00E13FE5" w:rsidRDefault="00E13FE5" w:rsidP="00E13FE5">
                            <w:pPr>
                              <w:pStyle w:val="EISF115boldgrey"/>
                            </w:pPr>
                            <w:r w:rsidRPr="00E13FE5">
                              <w:t>If the survivor reports the incident to someone immediately or soon after the incident, then they are in a position to make a decision regarding preserving physical evidence to support a potential legal case against the perpetrator.</w:t>
                            </w:r>
                          </w:p>
                          <w:p w14:paraId="0539B4B7" w14:textId="0E36A915" w:rsidR="00F8255B" w:rsidRPr="00F55B7C" w:rsidRDefault="00F8255B" w:rsidP="00E13FE5">
                            <w:pPr>
                              <w:pStyle w:val="EISF115boldgrey"/>
                              <w:rPr>
                                <w:sz w:val="24"/>
                                <w:szCs w:val="24"/>
                              </w:rPr>
                            </w:pPr>
                          </w:p>
                        </w:txbxContent>
                      </wps:txbx>
                      <wps:bodyPr rot="0" spcFirstLastPara="0" vertOverflow="overflow" horzOverflow="overflow" vert="horz" wrap="square" lIns="228600" tIns="13716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4494" id="Rectangle 2" o:spid="_x0000_s1026" style="position:absolute;left:0;text-align:left;margin-left:1.05pt;margin-top:27.95pt;width:482.4pt;height:6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" fillcolor="#e7f0ce [3207]" stroked="f" strokeweight="1pt">
                <v:textbox inset="18pt,10.8pt">
                  <w:txbxContent>
                    <w:p w14:paraId="62C15DDB" w14:textId="77777777" w:rsidR="00E13FE5" w:rsidRPr="00E13FE5" w:rsidRDefault="00E13FE5" w:rsidP="00E13FE5">
                      <w:pPr>
                        <w:pStyle w:val="EISF115boldgrey"/>
                      </w:pPr>
                      <w:r w:rsidRPr="00E13FE5">
                        <w:t>If the survivor reports the incident to someone immediately or soon after the incident, then they are in a position to make a decision regarding preserving physical evidence to support a potential legal case against the perpetrator.</w:t>
                      </w:r>
                    </w:p>
                    <w:p w14:paraId="0539B4B7" w14:textId="0E36A915" w:rsidR="00F8255B" w:rsidRPr="00F55B7C" w:rsidRDefault="00F8255B" w:rsidP="00E13FE5">
                      <w:pPr>
                        <w:pStyle w:val="EISF115boldgrey"/>
                        <w:rPr>
                          <w:sz w:val="24"/>
                          <w:szCs w:val="24"/>
                        </w:rPr>
                      </w:pPr>
                    </w:p>
                  </w:txbxContent>
                </v:textbox>
              </v:rect>
            </w:pict>
          </mc:Fallback>
        </mc:AlternateContent>
      </w:r>
    </w:p>
    <w:p w14:paraId="4B16B4D5" w14:textId="77777777" w:rsidR="00F8255B" w:rsidRPr="000A5C98" w:rsidRDefault="00F8255B" w:rsidP="00F8255B">
      <w:pPr>
        <w:spacing w:after="195" w:line="300" w:lineRule="auto"/>
        <w:ind w:right="20"/>
        <w:rPr>
          <w:rFonts w:ascii="Arial" w:hAnsi="Arial" w:cs="Arial"/>
        </w:rPr>
      </w:pPr>
      <w:r w:rsidRPr="000A5C98">
        <w:rPr>
          <w:rFonts w:ascii="Arial" w:hAnsi="Arial" w:cs="Arial"/>
        </w:rPr>
        <w:tab/>
      </w:r>
    </w:p>
    <w:p w14:paraId="41241C41" w14:textId="77777777" w:rsidR="00F8255B" w:rsidRPr="000A5C98" w:rsidRDefault="00F8255B" w:rsidP="00F8255B">
      <w:pPr>
        <w:spacing w:after="195" w:line="300" w:lineRule="auto"/>
        <w:ind w:left="-90" w:right="20"/>
        <w:rPr>
          <w:rFonts w:ascii="Arial" w:hAnsi="Arial" w:cs="Arial"/>
        </w:rPr>
      </w:pPr>
    </w:p>
    <w:p w14:paraId="215CD164" w14:textId="77777777" w:rsidR="00F8255B" w:rsidRPr="000A5C98" w:rsidRDefault="00F8255B" w:rsidP="00F8255B">
      <w:pPr>
        <w:spacing w:after="98" w:line="195" w:lineRule="atLeast"/>
        <w:rPr>
          <w:rFonts w:ascii="Arial" w:hAnsi="Arial" w:cs="Arial"/>
          <w:b/>
          <w:bCs/>
          <w:sz w:val="23"/>
          <w:szCs w:val="23"/>
          <w:lang w:eastAsia="en-GB"/>
        </w:rPr>
      </w:pPr>
      <w:r w:rsidRPr="000A5C98">
        <w:rPr>
          <w:rFonts w:ascii="Arial" w:hAnsi="Arial" w:cs="Arial"/>
        </w:rPr>
        <w:tab/>
      </w:r>
      <w:r w:rsidRPr="000A5C98">
        <w:rPr>
          <w:rFonts w:ascii="Arial" w:hAnsi="Arial" w:cs="Arial"/>
        </w:rPr>
        <w:br/>
      </w:r>
      <w:r w:rsidRPr="000A5C98">
        <w:rPr>
          <w:rFonts w:ascii="Arial" w:hAnsi="Arial" w:cs="Arial"/>
        </w:rPr>
        <w:br/>
      </w:r>
    </w:p>
    <w:p w14:paraId="49E86E32" w14:textId="77777777" w:rsidR="00E13FE5" w:rsidRDefault="00E13FE5" w:rsidP="00E13FE5">
      <w:pPr>
        <w:pStyle w:val="EISF115grey"/>
      </w:pPr>
      <w:r>
        <w:t xml:space="preserve">Survivors must be counselled on their legal options as prescribed under local law as soon as possible so that they may make informed decisions. A survivor’s nationality and identity characteristics may feed into the decision-making process. </w:t>
      </w:r>
    </w:p>
    <w:p w14:paraId="74D84130" w14:textId="77777777" w:rsidR="00E13FE5" w:rsidRDefault="00E13FE5" w:rsidP="00E13FE5">
      <w:pPr>
        <w:pStyle w:val="EISF115grey"/>
      </w:pPr>
      <w:r>
        <w:t>The organisation should assist survivors who are deciding whether to initiate a legal process by ensuring that they:</w:t>
      </w:r>
    </w:p>
    <w:p w14:paraId="2749C427" w14:textId="03AF8A9E" w:rsidR="00E13FE5" w:rsidRDefault="00E13FE5" w:rsidP="00E13FE5">
      <w:pPr>
        <w:pStyle w:val="EISF115bullets"/>
      </w:pPr>
      <w:r>
        <w:t>know that the decision is theirs and theirs alone;</w:t>
      </w:r>
    </w:p>
    <w:p w14:paraId="53F6CD6E" w14:textId="35C9397F" w:rsidR="00E13FE5" w:rsidRDefault="00E13FE5" w:rsidP="00E13FE5">
      <w:pPr>
        <w:pStyle w:val="EISF115bullets"/>
      </w:pPr>
      <w:r>
        <w:t>have considered all the options available to them;</w:t>
      </w:r>
    </w:p>
    <w:p w14:paraId="3E33D6D1" w14:textId="1E6CCD08" w:rsidR="00E13FE5" w:rsidRDefault="00E13FE5" w:rsidP="00E13FE5">
      <w:pPr>
        <w:pStyle w:val="EISF115bullets"/>
      </w:pPr>
      <w:r>
        <w:rPr>
          <w:spacing w:val="-2"/>
        </w:rPr>
        <w:t>understand what evidence can be gathered considering the timeframes; and</w:t>
      </w:r>
    </w:p>
    <w:p w14:paraId="65C4F24E" w14:textId="3AF5782F" w:rsidR="00E13FE5" w:rsidRDefault="00E13FE5" w:rsidP="00E13FE5">
      <w:pPr>
        <w:pStyle w:val="EISF115bullets"/>
      </w:pPr>
      <w:r>
        <w:t>are fully aware of the legal ramifications of their decision.</w:t>
      </w:r>
    </w:p>
    <w:p w14:paraId="4F908722" w14:textId="390EB302" w:rsidR="00E13FE5" w:rsidRDefault="00E13FE5" w:rsidP="00E13FE5">
      <w:pPr>
        <w:pStyle w:val="EISF115grey"/>
      </w:pPr>
      <w:r>
        <w:t>The survivor’s physical and mental health should be the organisation’s primary concern, and evidence should be collected only with the survivor’s consent.</w:t>
      </w:r>
    </w:p>
    <w:p w14:paraId="769CF34C" w14:textId="6E8711DB" w:rsidR="00E13FE5" w:rsidRDefault="00E13FE5" w:rsidP="00E13FE5">
      <w:pPr>
        <w:pStyle w:val="EISF115grey"/>
      </w:pPr>
      <w:r>
        <w:t>Even if the survivor is not sure whether to file a report with law enforcement (be it local or international), actions can be taken early on that may preserve the option to file a report at a later date. For instance, survivors may agree to undergo a sexual assault or rape examination without formally committing to taking legal action; evidence collected during such procedures can be used in a court of law should the survivor decide to press charges. It is important to ensure that evidence is collected, stored and analysed according to applicable law (such as local criminal law, home country criminal law and duty of care law).</w:t>
      </w:r>
    </w:p>
    <w:p w14:paraId="7E2EA38A" w14:textId="77777777" w:rsidR="00E13FE5" w:rsidRDefault="00E13FE5" w:rsidP="00E13FE5">
      <w:pPr>
        <w:pStyle w:val="EISF115grey"/>
      </w:pPr>
      <w:r>
        <w:t xml:space="preserve">In some cases, the best option for the survivor is to collect evidence and file a report. In other cases, however, it may be psychologically harmful to the survivor to do so. </w:t>
      </w:r>
    </w:p>
    <w:p w14:paraId="5E44EBED" w14:textId="77777777" w:rsidR="00E13FE5" w:rsidRDefault="00E13FE5" w:rsidP="00E13FE5">
      <w:pPr>
        <w:pStyle w:val="EISF115grey"/>
      </w:pPr>
      <w:r>
        <w:t xml:space="preserve">Sometimes helpers to the survivor can unconsciously or inadvertently ‘urge’ the survivor to report or collect forensic evidence when they may not wish to. Survivor supporters should be mindful of their social influence and not let their personal opinions, however well-meaning they may be, to interfere with the survivor’s decision-making. </w:t>
      </w:r>
    </w:p>
    <w:p w14:paraId="151BDA9C" w14:textId="77777777" w:rsidR="00E13FE5" w:rsidRDefault="00E13FE5" w:rsidP="00E13FE5">
      <w:pPr>
        <w:pStyle w:val="EISF115grey"/>
      </w:pPr>
      <w:r>
        <w:t>Supporters should lay out the options for the survivor without emotion and aim to validate the survivor’s sense of self-determination in this process.</w:t>
      </w:r>
    </w:p>
    <w:p w14:paraId="689E61A5" w14:textId="77777777" w:rsidR="00E13FE5" w:rsidRDefault="00E13FE5" w:rsidP="00E13FE5">
      <w:pPr>
        <w:pStyle w:val="EISF115grey"/>
      </w:pPr>
      <w:r>
        <w:lastRenderedPageBreak/>
        <w:t>Survivors should understand the procedures which they will need to go through if they choose to file a police report. These procedures should be outlined by the country office or headquarters in advance and be understood by those supporting the survivor. Relevant staff members should provide information and support the survivor before, during and after the reporting process. The organisation needs to be prepared to support the survivor regardless of their choice.</w:t>
      </w:r>
    </w:p>
    <w:p w14:paraId="7C6CD02F" w14:textId="04C226A5" w:rsidR="00E13FE5" w:rsidRPr="000A5C98" w:rsidRDefault="00E13FE5" w:rsidP="00E13FE5">
      <w:pPr>
        <w:spacing w:after="195" w:line="300" w:lineRule="auto"/>
        <w:ind w:right="20"/>
        <w:rPr>
          <w:rFonts w:ascii="Arial" w:hAnsi="Arial" w:cs="Arial"/>
        </w:rPr>
      </w:pPr>
      <w:r>
        <w:rPr>
          <w:noProof/>
        </w:rPr>
        <mc:AlternateContent>
          <mc:Choice Requires="wps">
            <w:drawing>
              <wp:anchor distT="0" distB="0" distL="114300" distR="114300" simplePos="0" relativeHeight="251667968" behindDoc="1" locked="0" layoutInCell="1" allowOverlap="1" wp14:anchorId="1E7D20B4" wp14:editId="1CFF1D26">
                <wp:simplePos x="0" y="0"/>
                <wp:positionH relativeFrom="column">
                  <wp:posOffset>12700</wp:posOffset>
                </wp:positionH>
                <wp:positionV relativeFrom="paragraph">
                  <wp:posOffset>121285</wp:posOffset>
                </wp:positionV>
                <wp:extent cx="6126480" cy="4546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4546600"/>
                        </a:xfrm>
                        <a:prstGeom prst="rect">
                          <a:avLst/>
                        </a:prstGeom>
                        <a:solidFill>
                          <a:schemeClr val="accent4"/>
                        </a:solidFill>
                        <a:ln w="12700" cap="flat" cmpd="sng" algn="ctr">
                          <a:noFill/>
                          <a:prstDash val="solid"/>
                          <a:miter lim="800000"/>
                        </a:ln>
                        <a:effectLst/>
                      </wps:spPr>
                      <wps:txbx>
                        <w:txbxContent>
                          <w:p w14:paraId="0602414C" w14:textId="77777777" w:rsidR="00E13FE5" w:rsidRPr="00E13FE5" w:rsidRDefault="00E13FE5" w:rsidP="00E13FE5">
                            <w:pPr>
                              <w:pStyle w:val="EISF14headbold"/>
                            </w:pPr>
                            <w:r w:rsidRPr="00E13FE5">
                              <w:t>Preserving evidence</w:t>
                            </w:r>
                          </w:p>
                          <w:p w14:paraId="1F8FC579" w14:textId="77777777" w:rsidR="00E13FE5" w:rsidRPr="00E13FE5" w:rsidRDefault="00E13FE5" w:rsidP="00E13FE5">
                            <w:pPr>
                              <w:pStyle w:val="EISF115grey"/>
                            </w:pPr>
                            <w:r w:rsidRPr="00E13FE5">
                              <w:t>Survivors should not:</w:t>
                            </w:r>
                          </w:p>
                          <w:p w14:paraId="699763A9" w14:textId="77777777" w:rsidR="00E13FE5" w:rsidRPr="00E13FE5" w:rsidRDefault="00E13FE5" w:rsidP="00E13FE5">
                            <w:pPr>
                              <w:pStyle w:val="EISF115bullets"/>
                            </w:pPr>
                            <w:r w:rsidRPr="00E13FE5">
                              <w:t>drink or eat anything, including any non-essential medication they might be taking;</w:t>
                            </w:r>
                          </w:p>
                          <w:p w14:paraId="6FD726C7" w14:textId="77777777" w:rsidR="00E13FE5" w:rsidRPr="00E13FE5" w:rsidRDefault="00E13FE5" w:rsidP="00E13FE5">
                            <w:pPr>
                              <w:pStyle w:val="EISF115bullets"/>
                            </w:pPr>
                            <w:r w:rsidRPr="00E13FE5">
                              <w:t>shower or brush their teeth;</w:t>
                            </w:r>
                          </w:p>
                          <w:p w14:paraId="2BF79F13" w14:textId="77777777" w:rsidR="00E13FE5" w:rsidRPr="00E13FE5" w:rsidRDefault="00E13FE5" w:rsidP="00E13FE5">
                            <w:pPr>
                              <w:pStyle w:val="EISF115bullets"/>
                            </w:pPr>
                            <w:r w:rsidRPr="00E13FE5">
                              <w:t>comb or brush their hair;</w:t>
                            </w:r>
                          </w:p>
                          <w:p w14:paraId="559E5C44" w14:textId="77777777" w:rsidR="00E13FE5" w:rsidRPr="00E13FE5" w:rsidRDefault="00E13FE5" w:rsidP="00E13FE5">
                            <w:pPr>
                              <w:pStyle w:val="EISF115bullets"/>
                            </w:pPr>
                            <w:r w:rsidRPr="00E13FE5">
                              <w:t>smoke;</w:t>
                            </w:r>
                          </w:p>
                          <w:p w14:paraId="374677AB" w14:textId="77777777" w:rsidR="00E13FE5" w:rsidRPr="00E13FE5" w:rsidRDefault="00E13FE5" w:rsidP="00E13FE5">
                            <w:pPr>
                              <w:pStyle w:val="EISF115bullets"/>
                            </w:pPr>
                            <w:r w:rsidRPr="00E13FE5">
                              <w:t xml:space="preserve">go to the toilet (if waiting is not an option, survivors should use a glass or jar and store it safely); </w:t>
                            </w:r>
                          </w:p>
                          <w:p w14:paraId="2569A23B" w14:textId="77777777" w:rsidR="00E13FE5" w:rsidRPr="00E13FE5" w:rsidRDefault="00E13FE5" w:rsidP="00E13FE5">
                            <w:pPr>
                              <w:pStyle w:val="EISF115bullets"/>
                            </w:pPr>
                            <w:r w:rsidRPr="00E13FE5">
                              <w:t>discard any tampons or sanitary towels; or</w:t>
                            </w:r>
                          </w:p>
                          <w:p w14:paraId="6081735E" w14:textId="77777777" w:rsidR="00E13FE5" w:rsidRPr="00E13FE5" w:rsidRDefault="00E13FE5" w:rsidP="00E13FE5">
                            <w:pPr>
                              <w:pStyle w:val="EISF115bullets"/>
                            </w:pPr>
                            <w:r w:rsidRPr="00E13FE5">
                              <w:t>wash any clothing or bed sheets that were used at the time of the incident; it is important that these are kept dry and stored in paper bags (as opposed to plastic bags) to avoid contamination or loss, if possible.</w:t>
                            </w:r>
                          </w:p>
                          <w:p w14:paraId="6133D75B" w14:textId="77777777" w:rsidR="00E13FE5" w:rsidRPr="00E13FE5" w:rsidRDefault="00E13FE5" w:rsidP="00E13FE5">
                            <w:pPr>
                              <w:pStyle w:val="EISF115grey"/>
                            </w:pPr>
                            <w:r w:rsidRPr="00E13FE5">
                              <w:t xml:space="preserve">Survivors should be advised to identify and preserve all other evidence that may be useful, which can support a legal case if the survivor does not report the incident immediately or did not preserve medical forensic evidence. This type of evidence may include: </w:t>
                            </w:r>
                          </w:p>
                          <w:p w14:paraId="1CD9A1B7" w14:textId="77777777" w:rsidR="00E13FE5" w:rsidRPr="00E13FE5" w:rsidRDefault="00E13FE5" w:rsidP="00E13FE5">
                            <w:pPr>
                              <w:pStyle w:val="EISF115bullets"/>
                            </w:pPr>
                            <w:r w:rsidRPr="00E13FE5">
                              <w:t>mobile phone evidence, such as call lists, texts and voicemails;</w:t>
                            </w:r>
                          </w:p>
                          <w:p w14:paraId="641DB348" w14:textId="77777777" w:rsidR="00E13FE5" w:rsidRPr="00E13FE5" w:rsidRDefault="00E13FE5" w:rsidP="00E13FE5">
                            <w:pPr>
                              <w:pStyle w:val="EISF115bullets"/>
                            </w:pPr>
                            <w:r w:rsidRPr="00E13FE5">
                              <w:t>photos;</w:t>
                            </w:r>
                          </w:p>
                          <w:p w14:paraId="6273CE23" w14:textId="77777777" w:rsidR="00E13FE5" w:rsidRPr="00E13FE5" w:rsidRDefault="00E13FE5" w:rsidP="00E13FE5">
                            <w:pPr>
                              <w:pStyle w:val="EISF115bullets"/>
                            </w:pPr>
                            <w:r w:rsidRPr="00E13FE5">
                              <w:t>emails; and</w:t>
                            </w:r>
                          </w:p>
                          <w:p w14:paraId="0FB7EDA8" w14:textId="77777777" w:rsidR="00E13FE5" w:rsidRPr="00E13FE5" w:rsidRDefault="00E13FE5" w:rsidP="00E13FE5">
                            <w:pPr>
                              <w:pStyle w:val="EISF115bullets"/>
                            </w:pPr>
                            <w:r w:rsidRPr="00E13FE5">
                              <w:t xml:space="preserve">messages on social media, such as Facebook and Twitter. </w:t>
                            </w:r>
                          </w:p>
                          <w:p w14:paraId="2462C6AE" w14:textId="77777777" w:rsidR="00E13FE5" w:rsidRPr="00F55B7C" w:rsidRDefault="00E13FE5" w:rsidP="00E13FE5">
                            <w:pPr>
                              <w:pStyle w:val="EISF115boldgrey"/>
                              <w:rPr>
                                <w:sz w:val="24"/>
                                <w:szCs w:val="24"/>
                              </w:rPr>
                            </w:pPr>
                          </w:p>
                        </w:txbxContent>
                      </wps:txbx>
                      <wps:bodyPr rot="0" spcFirstLastPara="0" vertOverflow="overflow" horzOverflow="overflow" vert="horz" wrap="square" lIns="228600" tIns="13716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D20B4" id="Rectangle 4" o:spid="_x0000_s1027" style="position:absolute;margin-left:1pt;margin-top:9.55pt;width:482.4pt;height:3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" fillcolor="#e7f0ce [3207]" stroked="f" strokeweight="1pt">
                <v:textbox inset="18pt,10.8pt">
                  <w:txbxContent>
                    <w:p w14:paraId="0602414C" w14:textId="77777777" w:rsidR="00E13FE5" w:rsidRPr="00E13FE5" w:rsidRDefault="00E13FE5" w:rsidP="00E13FE5">
                      <w:pPr>
                        <w:pStyle w:val="EISF14headbold"/>
                      </w:pPr>
                      <w:r w:rsidRPr="00E13FE5">
                        <w:t>Preserving evidence</w:t>
                      </w:r>
                    </w:p>
                    <w:p w14:paraId="1F8FC579" w14:textId="77777777" w:rsidR="00E13FE5" w:rsidRPr="00E13FE5" w:rsidRDefault="00E13FE5" w:rsidP="00E13FE5">
                      <w:pPr>
                        <w:pStyle w:val="EISF115grey"/>
                      </w:pPr>
                      <w:r w:rsidRPr="00E13FE5">
                        <w:t>Survivors should not:</w:t>
                      </w:r>
                    </w:p>
                    <w:p w14:paraId="699763A9" w14:textId="77777777" w:rsidR="00E13FE5" w:rsidRPr="00E13FE5" w:rsidRDefault="00E13FE5" w:rsidP="00E13FE5">
                      <w:pPr>
                        <w:pStyle w:val="EISF115bullets"/>
                      </w:pPr>
                      <w:r w:rsidRPr="00E13FE5">
                        <w:t>drink or eat anything, including any non-essential medication they might be taking;</w:t>
                      </w:r>
                    </w:p>
                    <w:p w14:paraId="6FD726C7" w14:textId="77777777" w:rsidR="00E13FE5" w:rsidRPr="00E13FE5" w:rsidRDefault="00E13FE5" w:rsidP="00E13FE5">
                      <w:pPr>
                        <w:pStyle w:val="EISF115bullets"/>
                      </w:pPr>
                      <w:r w:rsidRPr="00E13FE5">
                        <w:t>shower or brush their teeth;</w:t>
                      </w:r>
                    </w:p>
                    <w:p w14:paraId="2BF79F13" w14:textId="77777777" w:rsidR="00E13FE5" w:rsidRPr="00E13FE5" w:rsidRDefault="00E13FE5" w:rsidP="00E13FE5">
                      <w:pPr>
                        <w:pStyle w:val="EISF115bullets"/>
                      </w:pPr>
                      <w:r w:rsidRPr="00E13FE5">
                        <w:t>comb or brush their hair;</w:t>
                      </w:r>
                    </w:p>
                    <w:p w14:paraId="559E5C44" w14:textId="77777777" w:rsidR="00E13FE5" w:rsidRPr="00E13FE5" w:rsidRDefault="00E13FE5" w:rsidP="00E13FE5">
                      <w:pPr>
                        <w:pStyle w:val="EISF115bullets"/>
                      </w:pPr>
                      <w:r w:rsidRPr="00E13FE5">
                        <w:t>smoke;</w:t>
                      </w:r>
                    </w:p>
                    <w:p w14:paraId="374677AB" w14:textId="77777777" w:rsidR="00E13FE5" w:rsidRPr="00E13FE5" w:rsidRDefault="00E13FE5" w:rsidP="00E13FE5">
                      <w:pPr>
                        <w:pStyle w:val="EISF115bullets"/>
                      </w:pPr>
                      <w:r w:rsidRPr="00E13FE5">
                        <w:t xml:space="preserve">go to the toilet (if waiting is not an option, survivors should use a glass or jar and store it safely); </w:t>
                      </w:r>
                    </w:p>
                    <w:p w14:paraId="2569A23B" w14:textId="77777777" w:rsidR="00E13FE5" w:rsidRPr="00E13FE5" w:rsidRDefault="00E13FE5" w:rsidP="00E13FE5">
                      <w:pPr>
                        <w:pStyle w:val="EISF115bullets"/>
                      </w:pPr>
                      <w:r w:rsidRPr="00E13FE5">
                        <w:t>discard any tampons or sanitary towels; or</w:t>
                      </w:r>
                    </w:p>
                    <w:p w14:paraId="6081735E" w14:textId="77777777" w:rsidR="00E13FE5" w:rsidRPr="00E13FE5" w:rsidRDefault="00E13FE5" w:rsidP="00E13FE5">
                      <w:pPr>
                        <w:pStyle w:val="EISF115bullets"/>
                      </w:pPr>
                      <w:r w:rsidRPr="00E13FE5">
                        <w:t>wash any clothing or bed sheets that were used at the time of the incident; it is important that these are kept dry and stored in paper bags (as opposed to plastic bags) to avoid contamination or loss, if possible.</w:t>
                      </w:r>
                    </w:p>
                    <w:p w14:paraId="6133D75B" w14:textId="77777777" w:rsidR="00E13FE5" w:rsidRPr="00E13FE5" w:rsidRDefault="00E13FE5" w:rsidP="00E13FE5">
                      <w:pPr>
                        <w:pStyle w:val="EISF115grey"/>
                      </w:pPr>
                      <w:r w:rsidRPr="00E13FE5">
                        <w:t xml:space="preserve">Survivors should be advised to identify and preserve all other evidence that may be useful, which can support a legal case if the survivor does not report the incident immediately or did not preserve medical forensic evidence. This type of evidence may include: </w:t>
                      </w:r>
                    </w:p>
                    <w:p w14:paraId="1CD9A1B7" w14:textId="77777777" w:rsidR="00E13FE5" w:rsidRPr="00E13FE5" w:rsidRDefault="00E13FE5" w:rsidP="00E13FE5">
                      <w:pPr>
                        <w:pStyle w:val="EISF115bullets"/>
                      </w:pPr>
                      <w:r w:rsidRPr="00E13FE5">
                        <w:t>mobile phone evidence, such as call lists, texts and voicemails;</w:t>
                      </w:r>
                    </w:p>
                    <w:p w14:paraId="641DB348" w14:textId="77777777" w:rsidR="00E13FE5" w:rsidRPr="00E13FE5" w:rsidRDefault="00E13FE5" w:rsidP="00E13FE5">
                      <w:pPr>
                        <w:pStyle w:val="EISF115bullets"/>
                      </w:pPr>
                      <w:r w:rsidRPr="00E13FE5">
                        <w:t>photos;</w:t>
                      </w:r>
                    </w:p>
                    <w:p w14:paraId="6273CE23" w14:textId="77777777" w:rsidR="00E13FE5" w:rsidRPr="00E13FE5" w:rsidRDefault="00E13FE5" w:rsidP="00E13FE5">
                      <w:pPr>
                        <w:pStyle w:val="EISF115bullets"/>
                      </w:pPr>
                      <w:r w:rsidRPr="00E13FE5">
                        <w:t>emails; and</w:t>
                      </w:r>
                    </w:p>
                    <w:p w14:paraId="0FB7EDA8" w14:textId="77777777" w:rsidR="00E13FE5" w:rsidRPr="00E13FE5" w:rsidRDefault="00E13FE5" w:rsidP="00E13FE5">
                      <w:pPr>
                        <w:pStyle w:val="EISF115bullets"/>
                      </w:pPr>
                      <w:r w:rsidRPr="00E13FE5">
                        <w:t xml:space="preserve">messages on social media, such as Facebook and Twitter. </w:t>
                      </w:r>
                    </w:p>
                    <w:p w14:paraId="2462C6AE" w14:textId="77777777" w:rsidR="00E13FE5" w:rsidRPr="00F55B7C" w:rsidRDefault="00E13FE5" w:rsidP="00E13FE5">
                      <w:pPr>
                        <w:pStyle w:val="EISF115boldgrey"/>
                        <w:rPr>
                          <w:sz w:val="24"/>
                          <w:szCs w:val="24"/>
                        </w:rPr>
                      </w:pPr>
                    </w:p>
                  </w:txbxContent>
                </v:textbox>
              </v:rect>
            </w:pict>
          </mc:Fallback>
        </mc:AlternateContent>
      </w:r>
    </w:p>
    <w:p w14:paraId="757B8625" w14:textId="70D3B48B" w:rsidR="00E13FE5" w:rsidRPr="000A5C98" w:rsidRDefault="00E13FE5" w:rsidP="00E13FE5">
      <w:pPr>
        <w:spacing w:after="195" w:line="300" w:lineRule="auto"/>
        <w:ind w:right="20"/>
        <w:rPr>
          <w:rFonts w:ascii="Arial" w:hAnsi="Arial" w:cs="Arial"/>
        </w:rPr>
      </w:pPr>
      <w:r w:rsidRPr="000A5C98">
        <w:rPr>
          <w:rFonts w:ascii="Arial" w:hAnsi="Arial" w:cs="Arial"/>
        </w:rPr>
        <w:tab/>
      </w:r>
    </w:p>
    <w:p w14:paraId="1ED62903" w14:textId="77777777" w:rsidR="00E13FE5" w:rsidRPr="000A5C98" w:rsidRDefault="00E13FE5" w:rsidP="00E13FE5">
      <w:pPr>
        <w:spacing w:after="195" w:line="300" w:lineRule="auto"/>
        <w:ind w:left="-90" w:right="20"/>
        <w:rPr>
          <w:rFonts w:ascii="Arial" w:hAnsi="Arial" w:cs="Arial"/>
        </w:rPr>
      </w:pPr>
    </w:p>
    <w:p w14:paraId="18F01D67" w14:textId="499FD41D" w:rsidR="00E13FE5" w:rsidRDefault="00E13FE5" w:rsidP="00E13FE5">
      <w:pPr>
        <w:spacing w:after="98" w:line="195" w:lineRule="atLeast"/>
        <w:rPr>
          <w:rFonts w:ascii="Arial" w:hAnsi="Arial" w:cs="Arial"/>
          <w:b/>
          <w:bCs/>
          <w:sz w:val="23"/>
          <w:szCs w:val="23"/>
          <w:lang w:eastAsia="en-GB"/>
        </w:rPr>
      </w:pPr>
      <w:r w:rsidRPr="000A5C98">
        <w:rPr>
          <w:rFonts w:ascii="Arial" w:hAnsi="Arial" w:cs="Arial"/>
        </w:rPr>
        <w:tab/>
      </w:r>
      <w:r w:rsidRPr="000A5C98">
        <w:rPr>
          <w:rFonts w:ascii="Arial" w:hAnsi="Arial" w:cs="Arial"/>
        </w:rPr>
        <w:br/>
      </w:r>
      <w:r w:rsidRPr="000A5C98">
        <w:rPr>
          <w:rFonts w:ascii="Arial" w:hAnsi="Arial" w:cs="Arial"/>
        </w:rPr>
        <w:br/>
      </w:r>
    </w:p>
    <w:p w14:paraId="13994763" w14:textId="7A545530" w:rsidR="00E13FE5" w:rsidRDefault="00E13FE5" w:rsidP="00E13FE5">
      <w:pPr>
        <w:spacing w:after="98" w:line="195" w:lineRule="atLeast"/>
        <w:rPr>
          <w:rFonts w:ascii="Arial" w:hAnsi="Arial" w:cs="Arial"/>
          <w:b/>
          <w:bCs/>
          <w:sz w:val="23"/>
          <w:szCs w:val="23"/>
          <w:lang w:eastAsia="en-GB"/>
        </w:rPr>
      </w:pPr>
    </w:p>
    <w:p w14:paraId="1055036F" w14:textId="28716981" w:rsidR="00E13FE5" w:rsidRDefault="00E13FE5" w:rsidP="00E13FE5">
      <w:pPr>
        <w:spacing w:after="98" w:line="195" w:lineRule="atLeast"/>
        <w:rPr>
          <w:rFonts w:ascii="Arial" w:hAnsi="Arial" w:cs="Arial"/>
          <w:b/>
          <w:bCs/>
          <w:sz w:val="23"/>
          <w:szCs w:val="23"/>
          <w:lang w:eastAsia="en-GB"/>
        </w:rPr>
      </w:pPr>
    </w:p>
    <w:p w14:paraId="21E94BD6" w14:textId="0E0F1FA5" w:rsidR="00E13FE5" w:rsidRDefault="00E13FE5" w:rsidP="00E13FE5">
      <w:pPr>
        <w:spacing w:after="98" w:line="195" w:lineRule="atLeast"/>
        <w:rPr>
          <w:rFonts w:ascii="Arial" w:hAnsi="Arial" w:cs="Arial"/>
          <w:b/>
          <w:bCs/>
          <w:sz w:val="23"/>
          <w:szCs w:val="23"/>
          <w:lang w:eastAsia="en-GB"/>
        </w:rPr>
      </w:pPr>
    </w:p>
    <w:p w14:paraId="753DBAAE" w14:textId="5C2F98D3" w:rsidR="00E13FE5" w:rsidRDefault="00E13FE5" w:rsidP="00E13FE5">
      <w:pPr>
        <w:spacing w:after="98" w:line="195" w:lineRule="atLeast"/>
        <w:rPr>
          <w:rFonts w:ascii="Arial" w:hAnsi="Arial" w:cs="Arial"/>
          <w:b/>
          <w:bCs/>
          <w:sz w:val="23"/>
          <w:szCs w:val="23"/>
          <w:lang w:eastAsia="en-GB"/>
        </w:rPr>
      </w:pPr>
    </w:p>
    <w:p w14:paraId="2906BAFC" w14:textId="02401158" w:rsidR="00E13FE5" w:rsidRDefault="00E13FE5" w:rsidP="00E13FE5">
      <w:pPr>
        <w:spacing w:after="98" w:line="195" w:lineRule="atLeast"/>
        <w:rPr>
          <w:rFonts w:ascii="Arial" w:hAnsi="Arial" w:cs="Arial"/>
          <w:b/>
          <w:bCs/>
          <w:sz w:val="23"/>
          <w:szCs w:val="23"/>
          <w:lang w:eastAsia="en-GB"/>
        </w:rPr>
      </w:pPr>
    </w:p>
    <w:p w14:paraId="6EE60E7E" w14:textId="0AC6FA74" w:rsidR="00E13FE5" w:rsidRDefault="00E13FE5" w:rsidP="00E13FE5">
      <w:pPr>
        <w:spacing w:after="98" w:line="195" w:lineRule="atLeast"/>
        <w:rPr>
          <w:rFonts w:ascii="Arial" w:hAnsi="Arial" w:cs="Arial"/>
          <w:b/>
          <w:bCs/>
          <w:sz w:val="23"/>
          <w:szCs w:val="23"/>
          <w:lang w:eastAsia="en-GB"/>
        </w:rPr>
      </w:pPr>
    </w:p>
    <w:p w14:paraId="0E82F64E" w14:textId="512FD0B9" w:rsidR="00E13FE5" w:rsidRDefault="00E13FE5" w:rsidP="00E13FE5">
      <w:pPr>
        <w:spacing w:after="98" w:line="195" w:lineRule="atLeast"/>
        <w:rPr>
          <w:rFonts w:ascii="Arial" w:hAnsi="Arial" w:cs="Arial"/>
          <w:b/>
          <w:bCs/>
          <w:sz w:val="23"/>
          <w:szCs w:val="23"/>
          <w:lang w:eastAsia="en-GB"/>
        </w:rPr>
      </w:pPr>
    </w:p>
    <w:p w14:paraId="32672080" w14:textId="3956996E" w:rsidR="00E13FE5" w:rsidRDefault="00E13FE5" w:rsidP="00E13FE5">
      <w:pPr>
        <w:spacing w:after="98" w:line="195" w:lineRule="atLeast"/>
        <w:rPr>
          <w:rFonts w:ascii="Arial" w:hAnsi="Arial" w:cs="Arial"/>
          <w:b/>
          <w:bCs/>
          <w:sz w:val="23"/>
          <w:szCs w:val="23"/>
          <w:lang w:eastAsia="en-GB"/>
        </w:rPr>
      </w:pPr>
    </w:p>
    <w:p w14:paraId="4A48DD03" w14:textId="6853A3F0" w:rsidR="00E13FE5" w:rsidRDefault="00E13FE5" w:rsidP="00E13FE5">
      <w:pPr>
        <w:spacing w:after="98" w:line="195" w:lineRule="atLeast"/>
        <w:rPr>
          <w:rFonts w:ascii="Arial" w:hAnsi="Arial" w:cs="Arial"/>
          <w:b/>
          <w:bCs/>
          <w:sz w:val="23"/>
          <w:szCs w:val="23"/>
          <w:lang w:eastAsia="en-GB"/>
        </w:rPr>
      </w:pPr>
    </w:p>
    <w:p w14:paraId="6BC524F2" w14:textId="0527544D" w:rsidR="00E13FE5" w:rsidRDefault="00E13FE5" w:rsidP="00E13FE5">
      <w:pPr>
        <w:spacing w:after="98" w:line="195" w:lineRule="atLeast"/>
        <w:rPr>
          <w:rFonts w:ascii="Arial" w:hAnsi="Arial" w:cs="Arial"/>
          <w:b/>
          <w:bCs/>
          <w:sz w:val="23"/>
          <w:szCs w:val="23"/>
          <w:lang w:eastAsia="en-GB"/>
        </w:rPr>
      </w:pPr>
    </w:p>
    <w:p w14:paraId="50D9AF2A" w14:textId="4A21CA01" w:rsidR="00E13FE5" w:rsidRDefault="00E13FE5" w:rsidP="00E13FE5">
      <w:pPr>
        <w:spacing w:after="98" w:line="195" w:lineRule="atLeast"/>
        <w:rPr>
          <w:rFonts w:ascii="Arial" w:hAnsi="Arial" w:cs="Arial"/>
          <w:b/>
          <w:bCs/>
          <w:sz w:val="23"/>
          <w:szCs w:val="23"/>
          <w:lang w:eastAsia="en-GB"/>
        </w:rPr>
      </w:pPr>
    </w:p>
    <w:p w14:paraId="0D4F69D9" w14:textId="3A9C695F" w:rsidR="00E13FE5" w:rsidRDefault="00E13FE5" w:rsidP="00E13FE5">
      <w:pPr>
        <w:spacing w:after="98" w:line="195" w:lineRule="atLeast"/>
        <w:rPr>
          <w:rFonts w:ascii="Arial" w:hAnsi="Arial" w:cs="Arial"/>
          <w:b/>
          <w:bCs/>
          <w:sz w:val="23"/>
          <w:szCs w:val="23"/>
          <w:lang w:eastAsia="en-GB"/>
        </w:rPr>
      </w:pPr>
    </w:p>
    <w:p w14:paraId="1D833C8D" w14:textId="6F3BE613" w:rsidR="00E13FE5" w:rsidRDefault="00E13FE5" w:rsidP="00E13FE5">
      <w:pPr>
        <w:spacing w:after="98" w:line="195" w:lineRule="atLeast"/>
        <w:rPr>
          <w:rFonts w:ascii="Arial" w:hAnsi="Arial" w:cs="Arial"/>
          <w:b/>
          <w:bCs/>
          <w:sz w:val="23"/>
          <w:szCs w:val="23"/>
          <w:lang w:eastAsia="en-GB"/>
        </w:rPr>
      </w:pPr>
    </w:p>
    <w:p w14:paraId="67F64CA7" w14:textId="7B7DF964" w:rsidR="00E13FE5" w:rsidRDefault="00E13FE5" w:rsidP="00E13FE5">
      <w:pPr>
        <w:spacing w:after="98" w:line="195" w:lineRule="atLeast"/>
        <w:rPr>
          <w:rFonts w:ascii="Arial" w:hAnsi="Arial" w:cs="Arial"/>
          <w:b/>
          <w:bCs/>
          <w:sz w:val="23"/>
          <w:szCs w:val="23"/>
          <w:lang w:eastAsia="en-GB"/>
        </w:rPr>
      </w:pPr>
    </w:p>
    <w:p w14:paraId="4971CBA0" w14:textId="77777777" w:rsidR="00E13FE5" w:rsidRPr="000A5C98" w:rsidRDefault="00E13FE5" w:rsidP="00E13FE5">
      <w:pPr>
        <w:spacing w:after="98" w:line="195" w:lineRule="atLeast"/>
        <w:rPr>
          <w:rFonts w:ascii="Arial" w:hAnsi="Arial" w:cs="Arial"/>
          <w:b/>
          <w:bCs/>
          <w:sz w:val="23"/>
          <w:szCs w:val="23"/>
          <w:lang w:eastAsia="en-GB"/>
        </w:rPr>
      </w:pPr>
    </w:p>
    <w:p w14:paraId="1B88F70A" w14:textId="3458DECF" w:rsidR="00E13FE5" w:rsidRPr="00E13FE5" w:rsidRDefault="00E13FE5" w:rsidP="00E13FE5">
      <w:pPr>
        <w:pStyle w:val="EISF115grey"/>
      </w:pPr>
      <w:r w:rsidRPr="00E13FE5">
        <w:t>The place where sexual violence took place is a crime scene. If possible, avoid disturbing, moving, washing or destroying anything that might be a useful source of evidence. This may include clothing, bedding, any glass or cup that the perpetrator drank from, discarded cigarette stubs, condoms or any other object the perpetrator touched.</w:t>
      </w:r>
    </w:p>
    <w:p w14:paraId="707A0555" w14:textId="77777777" w:rsidR="00E13FE5" w:rsidRPr="00E13FE5" w:rsidRDefault="00E13FE5" w:rsidP="00E13FE5">
      <w:pPr>
        <w:pStyle w:val="EISF115grey"/>
      </w:pPr>
      <w:r w:rsidRPr="00E13FE5">
        <w:t>Following traumatic incidents, survivors may feel compelled to act in ways that could destroy evidence, such as taking a shower or throwing away clothes. It is important for survivors to feel supported and, therefore, they should not feel that they are being judged for inadvertently disposing of or destroying evidence.</w:t>
      </w:r>
    </w:p>
    <w:p w14:paraId="5F51207A" w14:textId="03F62B66" w:rsidR="00066997" w:rsidRPr="00E13FE5" w:rsidRDefault="00E13FE5" w:rsidP="00E13FE5">
      <w:pPr>
        <w:pStyle w:val="EISF115grey"/>
      </w:pPr>
      <w:r w:rsidRPr="00E13FE5">
        <w:t>At no point should the survivor be forced to go through the evidence-gathering process or be made to feel guilty for not reporting sooner.</w:t>
      </w:r>
      <w:bookmarkStart w:id="0" w:name="_GoBack"/>
      <w:bookmarkEnd w:id="0"/>
    </w:p>
    <w:sectPr w:rsidR="00066997" w:rsidRPr="00E13FE5" w:rsidSect="00CA7EF1">
      <w:headerReference w:type="default" r:id="rId8"/>
      <w:footerReference w:type="even" r:id="rId9"/>
      <w:footerReference w:type="default" r:id="rId10"/>
      <w:headerReference w:type="first" r:id="rId11"/>
      <w:footerReference w:type="first" r:id="rId12"/>
      <w:pgSz w:w="11900" w:h="16840"/>
      <w:pgMar w:top="1440" w:right="1440" w:bottom="208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0A61B" w14:textId="77777777" w:rsidR="00B25ADD" w:rsidRDefault="00B25ADD" w:rsidP="00691614">
      <w:r>
        <w:separator/>
      </w:r>
    </w:p>
  </w:endnote>
  <w:endnote w:type="continuationSeparator" w:id="0">
    <w:p w14:paraId="1C4F2026" w14:textId="77777777" w:rsidR="00B25ADD" w:rsidRDefault="00B25ADD" w:rsidP="0069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Std Light">
    <w:panose1 w:val="020B0604020202020204"/>
    <w:charset w:val="00"/>
    <w:family w:val="swiss"/>
    <w:notTrueType/>
    <w:pitch w:val="variable"/>
    <w:sig w:usb0="00000003" w:usb1="00000000" w:usb2="00000000" w:usb3="00000000" w:csb0="00000001" w:csb1="00000000"/>
  </w:font>
  <w:font w:name="VAG Rounded Std">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2DB8" w14:textId="77777777" w:rsidR="001A1E7B" w:rsidRPr="00ED5355" w:rsidRDefault="00ED5355" w:rsidP="00ED5355">
    <w:pPr>
      <w:pStyle w:val="p1"/>
      <w:ind w:right="-340"/>
      <w:jc w:val="right"/>
      <w:rPr>
        <w:rFonts w:ascii="VAG Rounded Std Thin" w:hAnsi="VAG Rounded Std Thin"/>
        <w:color w:val="645F64"/>
        <w:sz w:val="20"/>
        <w:szCs w:val="20"/>
      </w:rPr>
    </w:pPr>
    <w:r w:rsidRPr="001A1E7B">
      <w:rPr>
        <w:rFonts w:ascii="VAG Rounded Std Thin" w:hAnsi="VAG Rounded Std Thin"/>
        <w:color w:val="645F64"/>
        <w:sz w:val="20"/>
        <w:szCs w:val="20"/>
      </w:rPr>
      <w:t>Abdu</w:t>
    </w:r>
    <w:r>
      <w:rPr>
        <w:rFonts w:ascii="VAG Rounded Std Thin" w:hAnsi="VAG Rounded Std Thin"/>
        <w:color w:val="645F64"/>
        <w:sz w:val="20"/>
        <w:szCs w:val="20"/>
      </w:rPr>
      <w:t>ction and Kidnap Risk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7EB0" w14:textId="77777777" w:rsidR="00CC5645" w:rsidRPr="00CC5645" w:rsidRDefault="00CC5645" w:rsidP="0077506E">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6EA6FD7D" w14:textId="77777777" w:rsidR="00CC5645" w:rsidRPr="00CC5645" w:rsidRDefault="00CC5645" w:rsidP="00CC5645">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2</w:t>
    </w:r>
    <w:r w:rsidRPr="00CC5645">
      <w:rPr>
        <w:rFonts w:ascii="Arial" w:hAnsi="Arial" w:cs="Arial"/>
        <w:bCs/>
        <w:color w:val="717073" w:themeColor="text1"/>
        <w:sz w:val="20"/>
        <w:szCs w:val="20"/>
      </w:rPr>
      <w:fldChar w:fldCharType="end"/>
    </w:r>
  </w:p>
  <w:p w14:paraId="4CE9D270" w14:textId="77777777" w:rsidR="00744CB4" w:rsidRDefault="00744C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9BFE" w14:textId="47BF3A4A" w:rsidR="003911DD" w:rsidRPr="00CC5645" w:rsidRDefault="00823217" w:rsidP="0077506E">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00CC5645"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57B01D3D" w14:textId="77777777" w:rsidR="00A120C7" w:rsidRPr="00CC5645" w:rsidRDefault="00823217" w:rsidP="003911DD">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p>
  <w:p w14:paraId="54223568" w14:textId="77777777" w:rsidR="00744CB4" w:rsidRDefault="00744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B1288" w14:textId="77777777" w:rsidR="00B25ADD" w:rsidRDefault="00B25ADD" w:rsidP="00691614">
      <w:r>
        <w:separator/>
      </w:r>
    </w:p>
  </w:footnote>
  <w:footnote w:type="continuationSeparator" w:id="0">
    <w:p w14:paraId="237582B1" w14:textId="77777777" w:rsidR="00B25ADD" w:rsidRDefault="00B25ADD" w:rsidP="0069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512" w14:textId="77777777" w:rsidR="00691614" w:rsidRDefault="00691614">
    <w:pPr>
      <w:pStyle w:val="Header"/>
    </w:pPr>
  </w:p>
  <w:p w14:paraId="784B3FB3" w14:textId="77777777" w:rsidR="00691614" w:rsidRDefault="0069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0C94" w14:textId="6D39FCC8" w:rsidR="0078649E" w:rsidRPr="00F55B7C" w:rsidRDefault="005C216F" w:rsidP="00F55B7C">
    <w:pPr>
      <w:pStyle w:val="EISF28headregturq"/>
    </w:pPr>
    <w:r>
      <w:drawing>
        <wp:anchor distT="0" distB="0" distL="114300" distR="114300" simplePos="0" relativeHeight="251656702" behindDoc="0" locked="0" layoutInCell="1" allowOverlap="1" wp14:anchorId="5A95C9AC" wp14:editId="4EFCBD9E">
          <wp:simplePos x="0" y="0"/>
          <wp:positionH relativeFrom="column">
            <wp:posOffset>16016</wp:posOffset>
          </wp:positionH>
          <wp:positionV relativeFrom="paragraph">
            <wp:posOffset>130527</wp:posOffset>
          </wp:positionV>
          <wp:extent cx="1143000" cy="1143000"/>
          <wp:effectExtent l="0" t="0" r="0" b="0"/>
          <wp:wrapThrough wrapText="bothSides">
            <wp:wrapPolygon edited="0">
              <wp:start x="0" y="0"/>
              <wp:lineTo x="0" y="21360"/>
              <wp:lineTo x="21360" y="21360"/>
              <wp:lineTo x="213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V Tool id.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120C7" w:rsidRPr="00F55B7C">
      <w:rPr>
        <w:rStyle w:val="s1"/>
        <w:rFonts w:ascii="Arial" w:hAnsi="Arial"/>
        <w:sz w:val="56"/>
        <w:szCs w:val="56"/>
      </w:rPr>
      <w:t xml:space="preserve">Tool </w:t>
    </w:r>
    <w:r w:rsidR="00E13FE5">
      <w:rPr>
        <w:rStyle w:val="s1"/>
        <w:rFonts w:ascii="Arial" w:hAnsi="Arial"/>
        <w:sz w:val="56"/>
        <w:szCs w:val="56"/>
      </w:rPr>
      <w:t>6</w:t>
    </w:r>
  </w:p>
  <w:p w14:paraId="1131FC79" w14:textId="4B16F1BA" w:rsidR="001A74CC" w:rsidRPr="00F55B7C" w:rsidRDefault="00E13FE5" w:rsidP="00F55B7C">
    <w:pPr>
      <w:pStyle w:val="EISF28headboldturq"/>
    </w:pPr>
    <w:r>
      <w:t>Preserving physical evidence</w:t>
    </w:r>
  </w:p>
  <w:p w14:paraId="45AF567E" w14:textId="77777777" w:rsidR="00A120C7" w:rsidRDefault="00A1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5D0B"/>
    <w:multiLevelType w:val="hybridMultilevel"/>
    <w:tmpl w:val="004484BA"/>
    <w:lvl w:ilvl="0" w:tplc="6C3CC304">
      <w:start w:val="1"/>
      <w:numFmt w:val="bullet"/>
      <w:pStyle w:val="EISF115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2A"/>
    <w:rsid w:val="00006E83"/>
    <w:rsid w:val="00066997"/>
    <w:rsid w:val="000966AF"/>
    <w:rsid w:val="000A3A68"/>
    <w:rsid w:val="000A5C98"/>
    <w:rsid w:val="000D1B5C"/>
    <w:rsid w:val="001008B0"/>
    <w:rsid w:val="00106945"/>
    <w:rsid w:val="00180AD0"/>
    <w:rsid w:val="001A1E7B"/>
    <w:rsid w:val="001A74CC"/>
    <w:rsid w:val="001E3B4E"/>
    <w:rsid w:val="001E5EAF"/>
    <w:rsid w:val="00234121"/>
    <w:rsid w:val="00237FE6"/>
    <w:rsid w:val="002B3C3D"/>
    <w:rsid w:val="002E10EA"/>
    <w:rsid w:val="00307F1C"/>
    <w:rsid w:val="00315FEF"/>
    <w:rsid w:val="003250DA"/>
    <w:rsid w:val="00384DF0"/>
    <w:rsid w:val="003911DD"/>
    <w:rsid w:val="003B157B"/>
    <w:rsid w:val="003E103F"/>
    <w:rsid w:val="003E33E4"/>
    <w:rsid w:val="003E765A"/>
    <w:rsid w:val="004028C2"/>
    <w:rsid w:val="0042261C"/>
    <w:rsid w:val="0043408C"/>
    <w:rsid w:val="00465016"/>
    <w:rsid w:val="0047374E"/>
    <w:rsid w:val="004B4595"/>
    <w:rsid w:val="004C594E"/>
    <w:rsid w:val="004F14EC"/>
    <w:rsid w:val="00502908"/>
    <w:rsid w:val="00505F9F"/>
    <w:rsid w:val="0051769C"/>
    <w:rsid w:val="00517B96"/>
    <w:rsid w:val="00544FF9"/>
    <w:rsid w:val="00550FBE"/>
    <w:rsid w:val="00562240"/>
    <w:rsid w:val="005B7877"/>
    <w:rsid w:val="005C216F"/>
    <w:rsid w:val="00606C8C"/>
    <w:rsid w:val="00613388"/>
    <w:rsid w:val="00636FA5"/>
    <w:rsid w:val="0064009F"/>
    <w:rsid w:val="006411C5"/>
    <w:rsid w:val="00641878"/>
    <w:rsid w:val="00642DAA"/>
    <w:rsid w:val="00644D79"/>
    <w:rsid w:val="006463F6"/>
    <w:rsid w:val="00691614"/>
    <w:rsid w:val="006A322E"/>
    <w:rsid w:val="006C7EBD"/>
    <w:rsid w:val="006F2908"/>
    <w:rsid w:val="007240BE"/>
    <w:rsid w:val="00744CB4"/>
    <w:rsid w:val="00746A34"/>
    <w:rsid w:val="00761FC9"/>
    <w:rsid w:val="0077506E"/>
    <w:rsid w:val="0078649E"/>
    <w:rsid w:val="00792BED"/>
    <w:rsid w:val="007A5ED0"/>
    <w:rsid w:val="007C2DE5"/>
    <w:rsid w:val="0081121D"/>
    <w:rsid w:val="00823217"/>
    <w:rsid w:val="00852EA4"/>
    <w:rsid w:val="008839C6"/>
    <w:rsid w:val="008949BD"/>
    <w:rsid w:val="008E1D35"/>
    <w:rsid w:val="009540D7"/>
    <w:rsid w:val="009A664F"/>
    <w:rsid w:val="009B4331"/>
    <w:rsid w:val="009B762A"/>
    <w:rsid w:val="009C6AC2"/>
    <w:rsid w:val="009F17B9"/>
    <w:rsid w:val="00A0473C"/>
    <w:rsid w:val="00A120C7"/>
    <w:rsid w:val="00A13466"/>
    <w:rsid w:val="00A16FCE"/>
    <w:rsid w:val="00A2582A"/>
    <w:rsid w:val="00A442C8"/>
    <w:rsid w:val="00A53DC8"/>
    <w:rsid w:val="00A63586"/>
    <w:rsid w:val="00A66865"/>
    <w:rsid w:val="00AB3F76"/>
    <w:rsid w:val="00B25ADD"/>
    <w:rsid w:val="00B6010F"/>
    <w:rsid w:val="00B645F5"/>
    <w:rsid w:val="00B97881"/>
    <w:rsid w:val="00BA1F1C"/>
    <w:rsid w:val="00BC0DD7"/>
    <w:rsid w:val="00BC42BD"/>
    <w:rsid w:val="00C352A3"/>
    <w:rsid w:val="00C52E19"/>
    <w:rsid w:val="00C64627"/>
    <w:rsid w:val="00C8788D"/>
    <w:rsid w:val="00CA7EF1"/>
    <w:rsid w:val="00CC0346"/>
    <w:rsid w:val="00CC4F4D"/>
    <w:rsid w:val="00CC5645"/>
    <w:rsid w:val="00D13981"/>
    <w:rsid w:val="00D25611"/>
    <w:rsid w:val="00D47134"/>
    <w:rsid w:val="00D54777"/>
    <w:rsid w:val="00D82706"/>
    <w:rsid w:val="00DB4EDE"/>
    <w:rsid w:val="00DC53D7"/>
    <w:rsid w:val="00E053FF"/>
    <w:rsid w:val="00E13FE5"/>
    <w:rsid w:val="00E87413"/>
    <w:rsid w:val="00ED5355"/>
    <w:rsid w:val="00F55B7C"/>
    <w:rsid w:val="00F8255B"/>
    <w:rsid w:val="00F93CD9"/>
    <w:rsid w:val="00FF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41A2"/>
  <w14:defaultImageDpi w14:val="32767"/>
  <w15:chartTrackingRefBased/>
  <w15:docId w15:val="{CD6C1454-CCC4-294A-915E-EB4F318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11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582A"/>
    <w:pPr>
      <w:spacing w:before="147" w:after="147" w:line="330" w:lineRule="atLeast"/>
    </w:pPr>
    <w:rPr>
      <w:rFonts w:ascii="VAG Rounded Std Light" w:hAnsi="VAG Rounded Std Light"/>
      <w:sz w:val="36"/>
      <w:szCs w:val="36"/>
      <w:lang w:eastAsia="en-GB"/>
    </w:rPr>
  </w:style>
  <w:style w:type="character" w:customStyle="1" w:styleId="s1">
    <w:name w:val="s1"/>
    <w:rsid w:val="00A2582A"/>
    <w:rPr>
      <w:rFonts w:ascii="VAG Rounded Std" w:hAnsi="VAG Rounded Std" w:hint="default"/>
      <w:spacing w:val="3"/>
      <w:sz w:val="36"/>
      <w:szCs w:val="36"/>
    </w:rPr>
  </w:style>
  <w:style w:type="character" w:customStyle="1" w:styleId="s2">
    <w:name w:val="s2"/>
    <w:rsid w:val="00A2582A"/>
    <w:rPr>
      <w:spacing w:val="3"/>
    </w:rPr>
  </w:style>
  <w:style w:type="paragraph" w:styleId="Header">
    <w:name w:val="header"/>
    <w:basedOn w:val="Normal"/>
    <w:link w:val="HeaderChar"/>
    <w:uiPriority w:val="99"/>
    <w:unhideWhenUsed/>
    <w:rsid w:val="00691614"/>
    <w:pPr>
      <w:tabs>
        <w:tab w:val="center" w:pos="4513"/>
        <w:tab w:val="right" w:pos="9026"/>
      </w:tabs>
    </w:pPr>
  </w:style>
  <w:style w:type="character" w:customStyle="1" w:styleId="HeaderChar">
    <w:name w:val="Header Char"/>
    <w:basedOn w:val="DefaultParagraphFont"/>
    <w:link w:val="Header"/>
    <w:uiPriority w:val="99"/>
    <w:rsid w:val="00691614"/>
  </w:style>
  <w:style w:type="paragraph" w:styleId="Footer">
    <w:name w:val="footer"/>
    <w:basedOn w:val="Normal"/>
    <w:link w:val="FooterChar"/>
    <w:uiPriority w:val="99"/>
    <w:unhideWhenUsed/>
    <w:rsid w:val="00691614"/>
    <w:pPr>
      <w:tabs>
        <w:tab w:val="center" w:pos="4513"/>
        <w:tab w:val="right" w:pos="9026"/>
      </w:tabs>
    </w:pPr>
  </w:style>
  <w:style w:type="character" w:customStyle="1" w:styleId="FooterChar">
    <w:name w:val="Footer Char"/>
    <w:basedOn w:val="DefaultParagraphFont"/>
    <w:link w:val="Footer"/>
    <w:uiPriority w:val="99"/>
    <w:rsid w:val="00691614"/>
  </w:style>
  <w:style w:type="table" w:styleId="TableGrid">
    <w:name w:val="Table Grid"/>
    <w:basedOn w:val="TableNormal"/>
    <w:uiPriority w:val="39"/>
    <w:rsid w:val="0042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4331"/>
  </w:style>
  <w:style w:type="paragraph" w:customStyle="1" w:styleId="p2">
    <w:name w:val="p2"/>
    <w:basedOn w:val="Normal"/>
    <w:rsid w:val="00C8788D"/>
    <w:pPr>
      <w:spacing w:after="98" w:line="195" w:lineRule="atLeast"/>
    </w:pPr>
    <w:rPr>
      <w:rFonts w:ascii="VAG Rounded Std Light" w:hAnsi="VAG Rounded Std Light"/>
      <w:color w:val="645F64"/>
      <w:sz w:val="14"/>
      <w:szCs w:val="14"/>
      <w:lang w:eastAsia="en-GB"/>
    </w:rPr>
  </w:style>
  <w:style w:type="paragraph" w:customStyle="1" w:styleId="ColorfulList-Accent11">
    <w:name w:val="Colorful List - Accent 11"/>
    <w:basedOn w:val="Normal"/>
    <w:uiPriority w:val="34"/>
    <w:qFormat/>
    <w:rsid w:val="00006E83"/>
    <w:pPr>
      <w:ind w:left="720"/>
      <w:contextualSpacing/>
    </w:pPr>
  </w:style>
  <w:style w:type="paragraph" w:customStyle="1" w:styleId="EISF115grey">
    <w:name w:val="EISF 11.5 grey"/>
    <w:basedOn w:val="Normal"/>
    <w:qFormat/>
    <w:rsid w:val="00F55B7C"/>
    <w:pPr>
      <w:spacing w:after="98" w:line="276" w:lineRule="auto"/>
    </w:pPr>
    <w:rPr>
      <w:rFonts w:ascii="Arial" w:hAnsi="Arial" w:cs="Arial"/>
      <w:color w:val="717073" w:themeColor="text1"/>
      <w:sz w:val="23"/>
      <w:szCs w:val="23"/>
      <w:lang w:eastAsia="en-GB"/>
    </w:rPr>
  </w:style>
  <w:style w:type="paragraph" w:customStyle="1" w:styleId="EISF115boldgrey">
    <w:name w:val="EISF 11.5 bold grey"/>
    <w:basedOn w:val="EISF115grey"/>
    <w:qFormat/>
    <w:rsid w:val="00F55B7C"/>
    <w:rPr>
      <w:b/>
      <w:lang w:val="en-US"/>
    </w:rPr>
  </w:style>
  <w:style w:type="paragraph" w:customStyle="1" w:styleId="EISF115bullets">
    <w:name w:val="EISF 11.5 bullets"/>
    <w:basedOn w:val="ColorfulList-Accent11"/>
    <w:qFormat/>
    <w:rsid w:val="005B7877"/>
    <w:pPr>
      <w:numPr>
        <w:numId w:val="1"/>
      </w:numPr>
      <w:spacing w:after="98" w:line="276" w:lineRule="auto"/>
      <w:ind w:left="360"/>
    </w:pPr>
    <w:rPr>
      <w:rFonts w:ascii="Arial" w:hAnsi="Arial" w:cs="Arial"/>
      <w:color w:val="717073" w:themeColor="text1"/>
      <w:sz w:val="23"/>
      <w:szCs w:val="23"/>
      <w:lang w:eastAsia="en-GB"/>
    </w:rPr>
  </w:style>
  <w:style w:type="paragraph" w:customStyle="1" w:styleId="EISF18headturq">
    <w:name w:val="EISF 18 head turq"/>
    <w:basedOn w:val="EISF115grey"/>
    <w:qFormat/>
    <w:rsid w:val="00A16FCE"/>
    <w:rPr>
      <w:color w:val="006E7F" w:themeColor="accent1"/>
      <w:sz w:val="36"/>
      <w:szCs w:val="36"/>
    </w:rPr>
  </w:style>
  <w:style w:type="paragraph" w:customStyle="1" w:styleId="EISF28headregturq">
    <w:name w:val="EISF 28 head reg turq"/>
    <w:basedOn w:val="Normal"/>
    <w:qFormat/>
    <w:rsid w:val="00F55B7C"/>
    <w:pPr>
      <w:spacing w:before="147" w:after="147" w:line="330" w:lineRule="atLeast"/>
      <w:ind w:left="2520"/>
    </w:pPr>
    <w:rPr>
      <w:rFonts w:ascii="Arial" w:hAnsi="Arial" w:cs="Arial"/>
      <w:noProof/>
      <w:color w:val="006E7F" w:themeColor="accent1"/>
      <w:spacing w:val="3"/>
      <w:sz w:val="56"/>
      <w:szCs w:val="56"/>
      <w:lang w:eastAsia="en-GB"/>
    </w:rPr>
  </w:style>
  <w:style w:type="paragraph" w:customStyle="1" w:styleId="EISF28headboldturq">
    <w:name w:val="EISF 28 head bold turq"/>
    <w:basedOn w:val="Normal"/>
    <w:qFormat/>
    <w:rsid w:val="00F55B7C"/>
    <w:pPr>
      <w:spacing w:before="147" w:after="147" w:line="330" w:lineRule="atLeast"/>
      <w:ind w:left="2520"/>
    </w:pPr>
    <w:rPr>
      <w:rFonts w:ascii="Arial" w:hAnsi="Arial" w:cs="Arial"/>
      <w:b/>
      <w:bCs/>
      <w:color w:val="006E7F" w:themeColor="accent1"/>
      <w:sz w:val="56"/>
      <w:szCs w:val="56"/>
      <w:lang w:eastAsia="en-GB"/>
    </w:rPr>
  </w:style>
  <w:style w:type="paragraph" w:customStyle="1" w:styleId="EISF14headbold">
    <w:name w:val="EISF 14 head bold"/>
    <w:basedOn w:val="EISF18headturq"/>
    <w:qFormat/>
    <w:rsid w:val="001E5EAF"/>
    <w:rPr>
      <w:b/>
      <w:sz w:val="28"/>
      <w:szCs w:val="28"/>
    </w:rPr>
  </w:style>
  <w:style w:type="paragraph" w:styleId="BalloonText">
    <w:name w:val="Balloon Text"/>
    <w:basedOn w:val="Normal"/>
    <w:link w:val="BalloonTextChar"/>
    <w:uiPriority w:val="99"/>
    <w:semiHidden/>
    <w:unhideWhenUsed/>
    <w:rsid w:val="005C216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16F"/>
    <w:rPr>
      <w:rFonts w:ascii="Times New Roman" w:hAnsi="Times New Roman"/>
      <w:sz w:val="18"/>
      <w:szCs w:val="18"/>
    </w:rPr>
  </w:style>
  <w:style w:type="paragraph" w:customStyle="1" w:styleId="95boxinstructions">
    <w:name w:val="9.5 box instructions"/>
    <w:basedOn w:val="EISF115grey"/>
    <w:qFormat/>
    <w:rsid w:val="00613388"/>
    <w:pPr>
      <w:snapToGrid w:val="0"/>
      <w:spacing w:before="40" w:after="40" w:line="240" w:lineRule="auto"/>
    </w:pPr>
    <w:rPr>
      <w:i/>
      <w:sz w:val="19"/>
      <w:szCs w:val="19"/>
    </w:rPr>
  </w:style>
  <w:style w:type="paragraph" w:customStyle="1" w:styleId="EISF10ptbodyspaceafter">
    <w:name w:val="EISF 10pt body space after"/>
    <w:basedOn w:val="Normal"/>
    <w:uiPriority w:val="99"/>
    <w:rsid w:val="00315FEF"/>
    <w:pPr>
      <w:suppressAutoHyphens/>
      <w:autoSpaceDE w:val="0"/>
      <w:autoSpaceDN w:val="0"/>
      <w:adjustRightInd w:val="0"/>
      <w:spacing w:after="130" w:line="260" w:lineRule="atLeast"/>
      <w:textAlignment w:val="center"/>
    </w:pPr>
    <w:rPr>
      <w:rFonts w:ascii="VAG Rounded Std Thin" w:hAnsi="VAG Rounded Std Thin" w:cs="VAG Rounded Std Thin"/>
      <w:color w:val="514C51"/>
      <w:sz w:val="20"/>
      <w:szCs w:val="20"/>
    </w:rPr>
  </w:style>
  <w:style w:type="character" w:customStyle="1" w:styleId="Bold10ptgrey">
    <w:name w:val="Bold 10pt grey"/>
    <w:uiPriority w:val="99"/>
    <w:rsid w:val="00D54777"/>
    <w:rPr>
      <w:b/>
      <w:bCs/>
      <w:color w:val="514C51"/>
      <w:spacing w:val="0"/>
      <w:sz w:val="20"/>
      <w:szCs w:val="20"/>
      <w:u w:val="none"/>
      <w:vertAlign w:val="baseline"/>
    </w:rPr>
  </w:style>
  <w:style w:type="paragraph" w:customStyle="1" w:styleId="EISFHeadC">
    <w:name w:val="EISF Head C"/>
    <w:basedOn w:val="Normal"/>
    <w:uiPriority w:val="99"/>
    <w:rsid w:val="009A664F"/>
    <w:pPr>
      <w:suppressAutoHyphens/>
      <w:autoSpaceDE w:val="0"/>
      <w:autoSpaceDN w:val="0"/>
      <w:adjustRightInd w:val="0"/>
      <w:spacing w:before="227" w:after="130" w:line="260" w:lineRule="atLeast"/>
      <w:textAlignment w:val="center"/>
    </w:pPr>
    <w:rPr>
      <w:rFonts w:ascii="VAG Rounded Std Thin" w:hAnsi="VAG Rounded Std Thin" w:cs="VAG Rounded Std Thin"/>
      <w:b/>
      <w:bCs/>
      <w:color w:val="007F59"/>
    </w:rPr>
  </w:style>
  <w:style w:type="paragraph" w:customStyle="1" w:styleId="bullets14space">
    <w:name w:val="bullets 1/4 space"/>
    <w:basedOn w:val="Normal"/>
    <w:uiPriority w:val="99"/>
    <w:rsid w:val="00E13FE5"/>
    <w:pPr>
      <w:suppressAutoHyphens/>
      <w:autoSpaceDE w:val="0"/>
      <w:autoSpaceDN w:val="0"/>
      <w:adjustRightInd w:val="0"/>
      <w:spacing w:after="65" w:line="260" w:lineRule="atLeast"/>
      <w:textAlignment w:val="center"/>
    </w:pPr>
    <w:rPr>
      <w:rFonts w:ascii="VAG Rounded Std Thin" w:eastAsiaTheme="minorEastAsia" w:hAnsi="VAG Rounded Std Thin" w:cs="VAG Rounded Std Thin"/>
      <w:color w:val="514C5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9677">
      <w:bodyDiv w:val="1"/>
      <w:marLeft w:val="0"/>
      <w:marRight w:val="0"/>
      <w:marTop w:val="0"/>
      <w:marBottom w:val="0"/>
      <w:divBdr>
        <w:top w:val="none" w:sz="0" w:space="0" w:color="auto"/>
        <w:left w:val="none" w:sz="0" w:space="0" w:color="auto"/>
        <w:bottom w:val="none" w:sz="0" w:space="0" w:color="auto"/>
        <w:right w:val="none" w:sz="0" w:space="0" w:color="auto"/>
      </w:divBdr>
    </w:div>
    <w:div w:id="249200367">
      <w:bodyDiv w:val="1"/>
      <w:marLeft w:val="0"/>
      <w:marRight w:val="0"/>
      <w:marTop w:val="0"/>
      <w:marBottom w:val="0"/>
      <w:divBdr>
        <w:top w:val="none" w:sz="0" w:space="0" w:color="auto"/>
        <w:left w:val="none" w:sz="0" w:space="0" w:color="auto"/>
        <w:bottom w:val="none" w:sz="0" w:space="0" w:color="auto"/>
        <w:right w:val="none" w:sz="0" w:space="0" w:color="auto"/>
      </w:divBdr>
    </w:div>
    <w:div w:id="287854613">
      <w:bodyDiv w:val="1"/>
      <w:marLeft w:val="0"/>
      <w:marRight w:val="0"/>
      <w:marTop w:val="0"/>
      <w:marBottom w:val="0"/>
      <w:divBdr>
        <w:top w:val="none" w:sz="0" w:space="0" w:color="auto"/>
        <w:left w:val="none" w:sz="0" w:space="0" w:color="auto"/>
        <w:bottom w:val="none" w:sz="0" w:space="0" w:color="auto"/>
        <w:right w:val="none" w:sz="0" w:space="0" w:color="auto"/>
      </w:divBdr>
    </w:div>
    <w:div w:id="315035158">
      <w:bodyDiv w:val="1"/>
      <w:marLeft w:val="0"/>
      <w:marRight w:val="0"/>
      <w:marTop w:val="0"/>
      <w:marBottom w:val="0"/>
      <w:divBdr>
        <w:top w:val="none" w:sz="0" w:space="0" w:color="auto"/>
        <w:left w:val="none" w:sz="0" w:space="0" w:color="auto"/>
        <w:bottom w:val="none" w:sz="0" w:space="0" w:color="auto"/>
        <w:right w:val="none" w:sz="0" w:space="0" w:color="auto"/>
      </w:divBdr>
    </w:div>
    <w:div w:id="319231166">
      <w:bodyDiv w:val="1"/>
      <w:marLeft w:val="0"/>
      <w:marRight w:val="0"/>
      <w:marTop w:val="0"/>
      <w:marBottom w:val="0"/>
      <w:divBdr>
        <w:top w:val="none" w:sz="0" w:space="0" w:color="auto"/>
        <w:left w:val="none" w:sz="0" w:space="0" w:color="auto"/>
        <w:bottom w:val="none" w:sz="0" w:space="0" w:color="auto"/>
        <w:right w:val="none" w:sz="0" w:space="0" w:color="auto"/>
      </w:divBdr>
    </w:div>
    <w:div w:id="361980274">
      <w:bodyDiv w:val="1"/>
      <w:marLeft w:val="0"/>
      <w:marRight w:val="0"/>
      <w:marTop w:val="0"/>
      <w:marBottom w:val="0"/>
      <w:divBdr>
        <w:top w:val="none" w:sz="0" w:space="0" w:color="auto"/>
        <w:left w:val="none" w:sz="0" w:space="0" w:color="auto"/>
        <w:bottom w:val="none" w:sz="0" w:space="0" w:color="auto"/>
        <w:right w:val="none" w:sz="0" w:space="0" w:color="auto"/>
      </w:divBdr>
    </w:div>
    <w:div w:id="362555014">
      <w:bodyDiv w:val="1"/>
      <w:marLeft w:val="0"/>
      <w:marRight w:val="0"/>
      <w:marTop w:val="0"/>
      <w:marBottom w:val="0"/>
      <w:divBdr>
        <w:top w:val="none" w:sz="0" w:space="0" w:color="auto"/>
        <w:left w:val="none" w:sz="0" w:space="0" w:color="auto"/>
        <w:bottom w:val="none" w:sz="0" w:space="0" w:color="auto"/>
        <w:right w:val="none" w:sz="0" w:space="0" w:color="auto"/>
      </w:divBdr>
    </w:div>
    <w:div w:id="381757392">
      <w:bodyDiv w:val="1"/>
      <w:marLeft w:val="0"/>
      <w:marRight w:val="0"/>
      <w:marTop w:val="0"/>
      <w:marBottom w:val="0"/>
      <w:divBdr>
        <w:top w:val="none" w:sz="0" w:space="0" w:color="auto"/>
        <w:left w:val="none" w:sz="0" w:space="0" w:color="auto"/>
        <w:bottom w:val="none" w:sz="0" w:space="0" w:color="auto"/>
        <w:right w:val="none" w:sz="0" w:space="0" w:color="auto"/>
      </w:divBdr>
    </w:div>
    <w:div w:id="510724437">
      <w:bodyDiv w:val="1"/>
      <w:marLeft w:val="0"/>
      <w:marRight w:val="0"/>
      <w:marTop w:val="0"/>
      <w:marBottom w:val="0"/>
      <w:divBdr>
        <w:top w:val="none" w:sz="0" w:space="0" w:color="auto"/>
        <w:left w:val="none" w:sz="0" w:space="0" w:color="auto"/>
        <w:bottom w:val="none" w:sz="0" w:space="0" w:color="auto"/>
        <w:right w:val="none" w:sz="0" w:space="0" w:color="auto"/>
      </w:divBdr>
    </w:div>
    <w:div w:id="648367157">
      <w:bodyDiv w:val="1"/>
      <w:marLeft w:val="0"/>
      <w:marRight w:val="0"/>
      <w:marTop w:val="0"/>
      <w:marBottom w:val="0"/>
      <w:divBdr>
        <w:top w:val="none" w:sz="0" w:space="0" w:color="auto"/>
        <w:left w:val="none" w:sz="0" w:space="0" w:color="auto"/>
        <w:bottom w:val="none" w:sz="0" w:space="0" w:color="auto"/>
        <w:right w:val="none" w:sz="0" w:space="0" w:color="auto"/>
      </w:divBdr>
    </w:div>
    <w:div w:id="668294834">
      <w:bodyDiv w:val="1"/>
      <w:marLeft w:val="0"/>
      <w:marRight w:val="0"/>
      <w:marTop w:val="0"/>
      <w:marBottom w:val="0"/>
      <w:divBdr>
        <w:top w:val="none" w:sz="0" w:space="0" w:color="auto"/>
        <w:left w:val="none" w:sz="0" w:space="0" w:color="auto"/>
        <w:bottom w:val="none" w:sz="0" w:space="0" w:color="auto"/>
        <w:right w:val="none" w:sz="0" w:space="0" w:color="auto"/>
      </w:divBdr>
    </w:div>
    <w:div w:id="708839576">
      <w:bodyDiv w:val="1"/>
      <w:marLeft w:val="0"/>
      <w:marRight w:val="0"/>
      <w:marTop w:val="0"/>
      <w:marBottom w:val="0"/>
      <w:divBdr>
        <w:top w:val="none" w:sz="0" w:space="0" w:color="auto"/>
        <w:left w:val="none" w:sz="0" w:space="0" w:color="auto"/>
        <w:bottom w:val="none" w:sz="0" w:space="0" w:color="auto"/>
        <w:right w:val="none" w:sz="0" w:space="0" w:color="auto"/>
      </w:divBdr>
    </w:div>
    <w:div w:id="781220156">
      <w:bodyDiv w:val="1"/>
      <w:marLeft w:val="0"/>
      <w:marRight w:val="0"/>
      <w:marTop w:val="0"/>
      <w:marBottom w:val="0"/>
      <w:divBdr>
        <w:top w:val="none" w:sz="0" w:space="0" w:color="auto"/>
        <w:left w:val="none" w:sz="0" w:space="0" w:color="auto"/>
        <w:bottom w:val="none" w:sz="0" w:space="0" w:color="auto"/>
        <w:right w:val="none" w:sz="0" w:space="0" w:color="auto"/>
      </w:divBdr>
    </w:div>
    <w:div w:id="792821066">
      <w:bodyDiv w:val="1"/>
      <w:marLeft w:val="0"/>
      <w:marRight w:val="0"/>
      <w:marTop w:val="0"/>
      <w:marBottom w:val="0"/>
      <w:divBdr>
        <w:top w:val="none" w:sz="0" w:space="0" w:color="auto"/>
        <w:left w:val="none" w:sz="0" w:space="0" w:color="auto"/>
        <w:bottom w:val="none" w:sz="0" w:space="0" w:color="auto"/>
        <w:right w:val="none" w:sz="0" w:space="0" w:color="auto"/>
      </w:divBdr>
    </w:div>
    <w:div w:id="797726076">
      <w:bodyDiv w:val="1"/>
      <w:marLeft w:val="0"/>
      <w:marRight w:val="0"/>
      <w:marTop w:val="0"/>
      <w:marBottom w:val="0"/>
      <w:divBdr>
        <w:top w:val="none" w:sz="0" w:space="0" w:color="auto"/>
        <w:left w:val="none" w:sz="0" w:space="0" w:color="auto"/>
        <w:bottom w:val="none" w:sz="0" w:space="0" w:color="auto"/>
        <w:right w:val="none" w:sz="0" w:space="0" w:color="auto"/>
      </w:divBdr>
    </w:div>
    <w:div w:id="839664626">
      <w:bodyDiv w:val="1"/>
      <w:marLeft w:val="0"/>
      <w:marRight w:val="0"/>
      <w:marTop w:val="0"/>
      <w:marBottom w:val="0"/>
      <w:divBdr>
        <w:top w:val="none" w:sz="0" w:space="0" w:color="auto"/>
        <w:left w:val="none" w:sz="0" w:space="0" w:color="auto"/>
        <w:bottom w:val="none" w:sz="0" w:space="0" w:color="auto"/>
        <w:right w:val="none" w:sz="0" w:space="0" w:color="auto"/>
      </w:divBdr>
    </w:div>
    <w:div w:id="874268945">
      <w:bodyDiv w:val="1"/>
      <w:marLeft w:val="0"/>
      <w:marRight w:val="0"/>
      <w:marTop w:val="0"/>
      <w:marBottom w:val="0"/>
      <w:divBdr>
        <w:top w:val="none" w:sz="0" w:space="0" w:color="auto"/>
        <w:left w:val="none" w:sz="0" w:space="0" w:color="auto"/>
        <w:bottom w:val="none" w:sz="0" w:space="0" w:color="auto"/>
        <w:right w:val="none" w:sz="0" w:space="0" w:color="auto"/>
      </w:divBdr>
    </w:div>
    <w:div w:id="876509449">
      <w:bodyDiv w:val="1"/>
      <w:marLeft w:val="0"/>
      <w:marRight w:val="0"/>
      <w:marTop w:val="0"/>
      <w:marBottom w:val="0"/>
      <w:divBdr>
        <w:top w:val="none" w:sz="0" w:space="0" w:color="auto"/>
        <w:left w:val="none" w:sz="0" w:space="0" w:color="auto"/>
        <w:bottom w:val="none" w:sz="0" w:space="0" w:color="auto"/>
        <w:right w:val="none" w:sz="0" w:space="0" w:color="auto"/>
      </w:divBdr>
    </w:div>
    <w:div w:id="965164947">
      <w:bodyDiv w:val="1"/>
      <w:marLeft w:val="0"/>
      <w:marRight w:val="0"/>
      <w:marTop w:val="0"/>
      <w:marBottom w:val="0"/>
      <w:divBdr>
        <w:top w:val="none" w:sz="0" w:space="0" w:color="auto"/>
        <w:left w:val="none" w:sz="0" w:space="0" w:color="auto"/>
        <w:bottom w:val="none" w:sz="0" w:space="0" w:color="auto"/>
        <w:right w:val="none" w:sz="0" w:space="0" w:color="auto"/>
      </w:divBdr>
    </w:div>
    <w:div w:id="1099519107">
      <w:bodyDiv w:val="1"/>
      <w:marLeft w:val="0"/>
      <w:marRight w:val="0"/>
      <w:marTop w:val="0"/>
      <w:marBottom w:val="0"/>
      <w:divBdr>
        <w:top w:val="none" w:sz="0" w:space="0" w:color="auto"/>
        <w:left w:val="none" w:sz="0" w:space="0" w:color="auto"/>
        <w:bottom w:val="none" w:sz="0" w:space="0" w:color="auto"/>
        <w:right w:val="none" w:sz="0" w:space="0" w:color="auto"/>
      </w:divBdr>
    </w:div>
    <w:div w:id="1132407587">
      <w:bodyDiv w:val="1"/>
      <w:marLeft w:val="0"/>
      <w:marRight w:val="0"/>
      <w:marTop w:val="0"/>
      <w:marBottom w:val="0"/>
      <w:divBdr>
        <w:top w:val="none" w:sz="0" w:space="0" w:color="auto"/>
        <w:left w:val="none" w:sz="0" w:space="0" w:color="auto"/>
        <w:bottom w:val="none" w:sz="0" w:space="0" w:color="auto"/>
        <w:right w:val="none" w:sz="0" w:space="0" w:color="auto"/>
      </w:divBdr>
    </w:div>
    <w:div w:id="1160466306">
      <w:bodyDiv w:val="1"/>
      <w:marLeft w:val="0"/>
      <w:marRight w:val="0"/>
      <w:marTop w:val="0"/>
      <w:marBottom w:val="0"/>
      <w:divBdr>
        <w:top w:val="none" w:sz="0" w:space="0" w:color="auto"/>
        <w:left w:val="none" w:sz="0" w:space="0" w:color="auto"/>
        <w:bottom w:val="none" w:sz="0" w:space="0" w:color="auto"/>
        <w:right w:val="none" w:sz="0" w:space="0" w:color="auto"/>
      </w:divBdr>
    </w:div>
    <w:div w:id="1188913359">
      <w:bodyDiv w:val="1"/>
      <w:marLeft w:val="0"/>
      <w:marRight w:val="0"/>
      <w:marTop w:val="0"/>
      <w:marBottom w:val="0"/>
      <w:divBdr>
        <w:top w:val="none" w:sz="0" w:space="0" w:color="auto"/>
        <w:left w:val="none" w:sz="0" w:space="0" w:color="auto"/>
        <w:bottom w:val="none" w:sz="0" w:space="0" w:color="auto"/>
        <w:right w:val="none" w:sz="0" w:space="0" w:color="auto"/>
      </w:divBdr>
    </w:div>
    <w:div w:id="1298684202">
      <w:bodyDiv w:val="1"/>
      <w:marLeft w:val="0"/>
      <w:marRight w:val="0"/>
      <w:marTop w:val="0"/>
      <w:marBottom w:val="0"/>
      <w:divBdr>
        <w:top w:val="none" w:sz="0" w:space="0" w:color="auto"/>
        <w:left w:val="none" w:sz="0" w:space="0" w:color="auto"/>
        <w:bottom w:val="none" w:sz="0" w:space="0" w:color="auto"/>
        <w:right w:val="none" w:sz="0" w:space="0" w:color="auto"/>
      </w:divBdr>
    </w:div>
    <w:div w:id="1334643778">
      <w:bodyDiv w:val="1"/>
      <w:marLeft w:val="0"/>
      <w:marRight w:val="0"/>
      <w:marTop w:val="0"/>
      <w:marBottom w:val="0"/>
      <w:divBdr>
        <w:top w:val="none" w:sz="0" w:space="0" w:color="auto"/>
        <w:left w:val="none" w:sz="0" w:space="0" w:color="auto"/>
        <w:bottom w:val="none" w:sz="0" w:space="0" w:color="auto"/>
        <w:right w:val="none" w:sz="0" w:space="0" w:color="auto"/>
      </w:divBdr>
    </w:div>
    <w:div w:id="1507329808">
      <w:bodyDiv w:val="1"/>
      <w:marLeft w:val="0"/>
      <w:marRight w:val="0"/>
      <w:marTop w:val="0"/>
      <w:marBottom w:val="0"/>
      <w:divBdr>
        <w:top w:val="none" w:sz="0" w:space="0" w:color="auto"/>
        <w:left w:val="none" w:sz="0" w:space="0" w:color="auto"/>
        <w:bottom w:val="none" w:sz="0" w:space="0" w:color="auto"/>
        <w:right w:val="none" w:sz="0" w:space="0" w:color="auto"/>
      </w:divBdr>
    </w:div>
    <w:div w:id="1529101159">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
    <w:div w:id="1668170653">
      <w:bodyDiv w:val="1"/>
      <w:marLeft w:val="0"/>
      <w:marRight w:val="0"/>
      <w:marTop w:val="0"/>
      <w:marBottom w:val="0"/>
      <w:divBdr>
        <w:top w:val="none" w:sz="0" w:space="0" w:color="auto"/>
        <w:left w:val="none" w:sz="0" w:space="0" w:color="auto"/>
        <w:bottom w:val="none" w:sz="0" w:space="0" w:color="auto"/>
        <w:right w:val="none" w:sz="0" w:space="0" w:color="auto"/>
      </w:divBdr>
    </w:div>
    <w:div w:id="1691492039">
      <w:bodyDiv w:val="1"/>
      <w:marLeft w:val="0"/>
      <w:marRight w:val="0"/>
      <w:marTop w:val="0"/>
      <w:marBottom w:val="0"/>
      <w:divBdr>
        <w:top w:val="none" w:sz="0" w:space="0" w:color="auto"/>
        <w:left w:val="none" w:sz="0" w:space="0" w:color="auto"/>
        <w:bottom w:val="none" w:sz="0" w:space="0" w:color="auto"/>
        <w:right w:val="none" w:sz="0" w:space="0" w:color="auto"/>
      </w:divBdr>
    </w:div>
    <w:div w:id="1829251515">
      <w:bodyDiv w:val="1"/>
      <w:marLeft w:val="0"/>
      <w:marRight w:val="0"/>
      <w:marTop w:val="0"/>
      <w:marBottom w:val="0"/>
      <w:divBdr>
        <w:top w:val="none" w:sz="0" w:space="0" w:color="auto"/>
        <w:left w:val="none" w:sz="0" w:space="0" w:color="auto"/>
        <w:bottom w:val="none" w:sz="0" w:space="0" w:color="auto"/>
        <w:right w:val="none" w:sz="0" w:space="0" w:color="auto"/>
      </w:divBdr>
    </w:div>
    <w:div w:id="1858155688">
      <w:bodyDiv w:val="1"/>
      <w:marLeft w:val="0"/>
      <w:marRight w:val="0"/>
      <w:marTop w:val="0"/>
      <w:marBottom w:val="0"/>
      <w:divBdr>
        <w:top w:val="none" w:sz="0" w:space="0" w:color="auto"/>
        <w:left w:val="none" w:sz="0" w:space="0" w:color="auto"/>
        <w:bottom w:val="none" w:sz="0" w:space="0" w:color="auto"/>
        <w:right w:val="none" w:sz="0" w:space="0" w:color="auto"/>
      </w:divBdr>
    </w:div>
    <w:div w:id="1860311766">
      <w:bodyDiv w:val="1"/>
      <w:marLeft w:val="0"/>
      <w:marRight w:val="0"/>
      <w:marTop w:val="0"/>
      <w:marBottom w:val="0"/>
      <w:divBdr>
        <w:top w:val="none" w:sz="0" w:space="0" w:color="auto"/>
        <w:left w:val="none" w:sz="0" w:space="0" w:color="auto"/>
        <w:bottom w:val="none" w:sz="0" w:space="0" w:color="auto"/>
        <w:right w:val="none" w:sz="0" w:space="0" w:color="auto"/>
      </w:divBdr>
    </w:div>
    <w:div w:id="1922369940">
      <w:bodyDiv w:val="1"/>
      <w:marLeft w:val="0"/>
      <w:marRight w:val="0"/>
      <w:marTop w:val="0"/>
      <w:marBottom w:val="0"/>
      <w:divBdr>
        <w:top w:val="none" w:sz="0" w:space="0" w:color="auto"/>
        <w:left w:val="none" w:sz="0" w:space="0" w:color="auto"/>
        <w:bottom w:val="none" w:sz="0" w:space="0" w:color="auto"/>
        <w:right w:val="none" w:sz="0" w:space="0" w:color="auto"/>
      </w:divBdr>
    </w:div>
    <w:div w:id="1934972911">
      <w:bodyDiv w:val="1"/>
      <w:marLeft w:val="0"/>
      <w:marRight w:val="0"/>
      <w:marTop w:val="0"/>
      <w:marBottom w:val="0"/>
      <w:divBdr>
        <w:top w:val="none" w:sz="0" w:space="0" w:color="auto"/>
        <w:left w:val="none" w:sz="0" w:space="0" w:color="auto"/>
        <w:bottom w:val="none" w:sz="0" w:space="0" w:color="auto"/>
        <w:right w:val="none" w:sz="0" w:space="0" w:color="auto"/>
      </w:divBdr>
    </w:div>
    <w:div w:id="1970282732">
      <w:bodyDiv w:val="1"/>
      <w:marLeft w:val="0"/>
      <w:marRight w:val="0"/>
      <w:marTop w:val="0"/>
      <w:marBottom w:val="0"/>
      <w:divBdr>
        <w:top w:val="none" w:sz="0" w:space="0" w:color="auto"/>
        <w:left w:val="none" w:sz="0" w:space="0" w:color="auto"/>
        <w:bottom w:val="none" w:sz="0" w:space="0" w:color="auto"/>
        <w:right w:val="none" w:sz="0" w:space="0" w:color="auto"/>
      </w:divBdr>
    </w:div>
    <w:div w:id="1987078645">
      <w:bodyDiv w:val="1"/>
      <w:marLeft w:val="0"/>
      <w:marRight w:val="0"/>
      <w:marTop w:val="0"/>
      <w:marBottom w:val="0"/>
      <w:divBdr>
        <w:top w:val="none" w:sz="0" w:space="0" w:color="auto"/>
        <w:left w:val="none" w:sz="0" w:space="0" w:color="auto"/>
        <w:bottom w:val="none" w:sz="0" w:space="0" w:color="auto"/>
        <w:right w:val="none" w:sz="0" w:space="0" w:color="auto"/>
      </w:divBdr>
    </w:div>
    <w:div w:id="213845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S test 1">
  <a:themeElements>
    <a:clrScheme name="EISF TURQ LIME">
      <a:dk1>
        <a:srgbClr val="717073"/>
      </a:dk1>
      <a:lt1>
        <a:srgbClr val="FFFFFF"/>
      </a:lt1>
      <a:dk2>
        <a:srgbClr val="44546A"/>
      </a:dk2>
      <a:lt2>
        <a:srgbClr val="E7E6E6"/>
      </a:lt2>
      <a:accent1>
        <a:srgbClr val="006E7F"/>
      </a:accent1>
      <a:accent2>
        <a:srgbClr val="9ACA3C"/>
      </a:accent2>
      <a:accent3>
        <a:srgbClr val="A5A5A5"/>
      </a:accent3>
      <a:accent4>
        <a:srgbClr val="E7F0CE"/>
      </a:accent4>
      <a:accent5>
        <a:srgbClr val="D8E7BA"/>
      </a:accent5>
      <a:accent6>
        <a:srgbClr val="70AD47"/>
      </a:accent6>
      <a:hlink>
        <a:srgbClr val="0563C1"/>
      </a:hlink>
      <a:folHlink>
        <a:srgbClr val="954F7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84F013-40CC-8C42-9BB9-AFCA4DDB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Links>
    <vt:vector size="12" baseType="variant">
      <vt:variant>
        <vt:i4>6684730</vt:i4>
      </vt:variant>
      <vt:variant>
        <vt:i4>9</vt:i4>
      </vt:variant>
      <vt:variant>
        <vt:i4>0</vt:i4>
      </vt:variant>
      <vt:variant>
        <vt:i4>5</vt:i4>
      </vt:variant>
      <vt:variant>
        <vt:lpwstr>http://www.eisf.eu/</vt:lpwstr>
      </vt:variant>
      <vt:variant>
        <vt:lpwstr/>
      </vt: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Adelicia Fairbanks</cp:lastModifiedBy>
  <cp:revision>11</cp:revision>
  <cp:lastPrinted>2019-03-04T17:31:00Z</cp:lastPrinted>
  <dcterms:created xsi:type="dcterms:W3CDTF">2019-03-07T15:13:00Z</dcterms:created>
  <dcterms:modified xsi:type="dcterms:W3CDTF">2019-03-11T17:55:00Z</dcterms:modified>
</cp:coreProperties>
</file>