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C181" w14:textId="3EF44267" w:rsidR="00A33116" w:rsidRDefault="009971E9" w:rsidP="00780D6F">
      <w:pPr>
        <w:pStyle w:val="NoSpacing"/>
        <w:jc w:val="both"/>
        <w:rPr>
          <w:b/>
          <w:bCs/>
          <w:sz w:val="28"/>
          <w:szCs w:val="28"/>
        </w:rPr>
      </w:pPr>
      <w:r>
        <w:rPr>
          <w:b/>
          <w:bCs/>
          <w:sz w:val="28"/>
          <w:szCs w:val="28"/>
        </w:rPr>
        <w:t>Why covid-19 is impacting security environments differently</w:t>
      </w:r>
    </w:p>
    <w:p w14:paraId="35540C70" w14:textId="7CB80DFE" w:rsidR="00450922" w:rsidRPr="00246BA5" w:rsidRDefault="00450922" w:rsidP="00780D6F">
      <w:pPr>
        <w:pStyle w:val="NoSpacing"/>
        <w:jc w:val="both"/>
        <w:rPr>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5F4EDD" w14:paraId="2DB7B4BD" w14:textId="77777777" w:rsidTr="00911A4F">
        <w:tc>
          <w:tcPr>
            <w:tcW w:w="9016" w:type="dxa"/>
            <w:shd w:val="clear" w:color="auto" w:fill="D9E2F3" w:themeFill="accent1" w:themeFillTint="33"/>
          </w:tcPr>
          <w:p w14:paraId="7216F8E0" w14:textId="77777777" w:rsidR="005F4EDD" w:rsidRDefault="005F4EDD" w:rsidP="00780D6F">
            <w:pPr>
              <w:jc w:val="both"/>
            </w:pPr>
            <w:r w:rsidRPr="00911A4F">
              <w:rPr>
                <w:b/>
                <w:bCs/>
              </w:rPr>
              <w:t>Summary</w:t>
            </w:r>
            <w:r>
              <w:t>:</w:t>
            </w:r>
          </w:p>
          <w:p w14:paraId="10B980F3" w14:textId="09C73C03" w:rsidR="00757B48" w:rsidRPr="00757B48" w:rsidRDefault="003452CC" w:rsidP="00E0558B">
            <w:pPr>
              <w:pStyle w:val="ListParagraph"/>
              <w:numPr>
                <w:ilvl w:val="0"/>
                <w:numId w:val="4"/>
              </w:numPr>
              <w:ind w:left="313" w:hanging="313"/>
              <w:jc w:val="both"/>
              <w:rPr>
                <w:color w:val="000000" w:themeColor="text1"/>
              </w:rPr>
            </w:pPr>
            <w:r w:rsidRPr="008933FB">
              <w:rPr>
                <w:color w:val="000000" w:themeColor="text1"/>
              </w:rPr>
              <w:t>7</w:t>
            </w:r>
            <w:r w:rsidR="00472FC1" w:rsidRPr="008933FB">
              <w:rPr>
                <w:color w:val="000000" w:themeColor="text1"/>
              </w:rPr>
              <w:t>9</w:t>
            </w:r>
            <w:r>
              <w:rPr>
                <w:color w:val="000000" w:themeColor="text1"/>
              </w:rPr>
              <w:t xml:space="preserve">% of </w:t>
            </w:r>
            <w:r w:rsidR="00A849C2">
              <w:rPr>
                <w:color w:val="000000" w:themeColor="text1"/>
              </w:rPr>
              <w:t>c</w:t>
            </w:r>
            <w:r>
              <w:rPr>
                <w:color w:val="000000" w:themeColor="text1"/>
              </w:rPr>
              <w:t>ovid-19</w:t>
            </w:r>
            <w:r w:rsidR="00A849C2">
              <w:rPr>
                <w:color w:val="000000" w:themeColor="text1"/>
              </w:rPr>
              <w:t>-</w:t>
            </w:r>
            <w:r>
              <w:rPr>
                <w:color w:val="000000" w:themeColor="text1"/>
              </w:rPr>
              <w:t>linked security incidents in East</w:t>
            </w:r>
            <w:r w:rsidR="00A849C2">
              <w:rPr>
                <w:color w:val="000000" w:themeColor="text1"/>
              </w:rPr>
              <w:t xml:space="preserve"> and Central</w:t>
            </w:r>
            <w:r>
              <w:rPr>
                <w:color w:val="000000" w:themeColor="text1"/>
              </w:rPr>
              <w:t xml:space="preserve"> Africa </w:t>
            </w:r>
            <w:r w:rsidR="00A849C2">
              <w:rPr>
                <w:color w:val="000000" w:themeColor="text1"/>
              </w:rPr>
              <w:t>from</w:t>
            </w:r>
            <w:r>
              <w:rPr>
                <w:color w:val="000000" w:themeColor="text1"/>
              </w:rPr>
              <w:t xml:space="preserve"> 1 March-7 May took place in </w:t>
            </w:r>
            <w:r w:rsidR="008933FB">
              <w:t>Kenya, Malawi and Uganda</w:t>
            </w:r>
            <w:r w:rsidR="00757B48">
              <w:rPr>
                <w:color w:val="000000" w:themeColor="text1"/>
              </w:rPr>
              <w:t>. This post seeks to explain why this is</w:t>
            </w:r>
            <w:r w:rsidR="00FE4199">
              <w:rPr>
                <w:color w:val="000000" w:themeColor="text1"/>
              </w:rPr>
              <w:t xml:space="preserve"> the case.</w:t>
            </w:r>
          </w:p>
          <w:p w14:paraId="35EEEE21" w14:textId="5ECF5145" w:rsidR="003B79E7" w:rsidRPr="003B79E7" w:rsidRDefault="00757B48" w:rsidP="00757B48">
            <w:pPr>
              <w:pStyle w:val="ListParagraph"/>
              <w:numPr>
                <w:ilvl w:val="0"/>
                <w:numId w:val="4"/>
              </w:numPr>
              <w:ind w:left="313" w:hanging="313"/>
              <w:jc w:val="both"/>
              <w:rPr>
                <w:color w:val="000000" w:themeColor="text1"/>
              </w:rPr>
            </w:pPr>
            <w:r>
              <w:t xml:space="preserve">Our data reveals a strong </w:t>
            </w:r>
            <w:r w:rsidR="003B79E7">
              <w:t xml:space="preserve">correlation between </w:t>
            </w:r>
            <w:r w:rsidR="00BF0CD8">
              <w:t xml:space="preserve">the level of </w:t>
            </w:r>
            <w:r>
              <w:t>restriction</w:t>
            </w:r>
            <w:r w:rsidR="00BF0CD8">
              <w:t>s</w:t>
            </w:r>
            <w:r>
              <w:t xml:space="preserve"> </w:t>
            </w:r>
            <w:r w:rsidR="003B79E7">
              <w:t xml:space="preserve">and the number of covid-19-related security incidents, but only </w:t>
            </w:r>
            <w:r>
              <w:t>when</w:t>
            </w:r>
            <w:r w:rsidR="003B79E7">
              <w:t xml:space="preserve"> </w:t>
            </w:r>
            <w:r w:rsidR="00BF0CD8">
              <w:t>a</w:t>
            </w:r>
            <w:r>
              <w:t xml:space="preserve"> country’s</w:t>
            </w:r>
            <w:r w:rsidR="003B79E7">
              <w:t xml:space="preserve"> level of freedom is </w:t>
            </w:r>
            <w:r w:rsidR="00A55564">
              <w:t>factored in</w:t>
            </w:r>
            <w:r w:rsidR="003B79E7">
              <w:t>.</w:t>
            </w:r>
            <w:r>
              <w:t xml:space="preserve"> In countries where personal freedoms are minimal, covid-19 security incidents are </w:t>
            </w:r>
            <w:r w:rsidR="00A849C2">
              <w:t xml:space="preserve">also </w:t>
            </w:r>
            <w:r>
              <w:t xml:space="preserve">minimal, regardless of the extent of restrictions. In countries where personal freedoms are </w:t>
            </w:r>
            <w:r w:rsidR="00FE4199">
              <w:t>greater,</w:t>
            </w:r>
            <w:r>
              <w:t xml:space="preserve"> we see increased security incidents correspond with increased restrictions</w:t>
            </w:r>
            <w:r w:rsidR="00BF0CD8">
              <w:t>.</w:t>
            </w:r>
          </w:p>
          <w:p w14:paraId="562F1645" w14:textId="64ED9679" w:rsidR="00757B48" w:rsidRPr="005652DA" w:rsidRDefault="00757B48" w:rsidP="00E0558B">
            <w:pPr>
              <w:pStyle w:val="ListParagraph"/>
              <w:numPr>
                <w:ilvl w:val="0"/>
                <w:numId w:val="4"/>
              </w:numPr>
              <w:ind w:left="313" w:hanging="313"/>
              <w:jc w:val="both"/>
            </w:pPr>
            <w:r w:rsidRPr="005652DA">
              <w:t>Most</w:t>
            </w:r>
            <w:r w:rsidR="00A55564" w:rsidRPr="005652DA">
              <w:t xml:space="preserve"> covid-19-related security incidents </w:t>
            </w:r>
            <w:r w:rsidRPr="005652DA">
              <w:t>fall under two categories:</w:t>
            </w:r>
            <w:r w:rsidR="00A55564" w:rsidRPr="005652DA">
              <w:t xml:space="preserve"> </w:t>
            </w:r>
            <w:r w:rsidRPr="005652DA">
              <w:t xml:space="preserve">1) </w:t>
            </w:r>
            <w:r w:rsidR="00A55564" w:rsidRPr="005652DA">
              <w:t>protests against restrictions</w:t>
            </w:r>
            <w:r w:rsidRPr="005652DA">
              <w:t xml:space="preserve">, and 2) enforcement measures </w:t>
            </w:r>
            <w:r w:rsidR="00A55564" w:rsidRPr="005652DA">
              <w:t xml:space="preserve">by the security services. </w:t>
            </w:r>
            <w:r w:rsidR="003452CC" w:rsidRPr="005652DA">
              <w:t xml:space="preserve">Unlike countries outside the region, most obviously Chad and Mozambique, we </w:t>
            </w:r>
            <w:r w:rsidR="00FE4199" w:rsidRPr="005652DA">
              <w:t xml:space="preserve">see no </w:t>
            </w:r>
            <w:r w:rsidR="00BF0CD8" w:rsidRPr="005652DA">
              <w:t>correlation between</w:t>
            </w:r>
            <w:r w:rsidR="00FE4199" w:rsidRPr="005652DA">
              <w:t xml:space="preserve"> covid-19 </w:t>
            </w:r>
            <w:r w:rsidR="00BF0CD8" w:rsidRPr="005652DA">
              <w:t>and</w:t>
            </w:r>
            <w:r w:rsidR="00FE4199" w:rsidRPr="005652DA">
              <w:t xml:space="preserve"> changing patterns of armed conflict across the region.</w:t>
            </w:r>
          </w:p>
          <w:p w14:paraId="4A68B36A" w14:textId="7DC64237" w:rsidR="006714E6" w:rsidRPr="00780D6F" w:rsidRDefault="006714E6" w:rsidP="00425D23">
            <w:pPr>
              <w:pStyle w:val="ListParagraph"/>
              <w:ind w:left="313"/>
              <w:jc w:val="both"/>
              <w:rPr>
                <w:color w:val="000000" w:themeColor="text1"/>
              </w:rPr>
            </w:pPr>
          </w:p>
        </w:tc>
      </w:tr>
    </w:tbl>
    <w:p w14:paraId="003EB8C0" w14:textId="014254D4" w:rsidR="005B0938" w:rsidRDefault="005B0938" w:rsidP="009F2794">
      <w:pPr>
        <w:spacing w:after="0" w:line="240" w:lineRule="auto"/>
        <w:jc w:val="both"/>
      </w:pPr>
    </w:p>
    <w:p w14:paraId="479D5CDA" w14:textId="759F6DA8" w:rsidR="00425D23" w:rsidRDefault="00425D23" w:rsidP="009F2794">
      <w:pPr>
        <w:spacing w:after="0" w:line="240" w:lineRule="auto"/>
        <w:jc w:val="both"/>
      </w:pPr>
      <w:r>
        <w:t xml:space="preserve">In monitoring </w:t>
      </w:r>
      <w:r w:rsidR="00B40CB6">
        <w:t>covid-19-linked</w:t>
      </w:r>
      <w:r>
        <w:t xml:space="preserve"> security incidents across 13 countries in </w:t>
      </w:r>
      <w:r w:rsidR="00B40CB6">
        <w:t xml:space="preserve">East and </w:t>
      </w:r>
      <w:r>
        <w:t>Central</w:t>
      </w:r>
      <w:r w:rsidR="00B40CB6">
        <w:t xml:space="preserve"> </w:t>
      </w:r>
      <w:r>
        <w:t xml:space="preserve">Africa, we </w:t>
      </w:r>
      <w:r w:rsidR="00B40CB6">
        <w:t>see</w:t>
      </w:r>
      <w:r>
        <w:t xml:space="preserve"> </w:t>
      </w:r>
      <w:r w:rsidR="00AA4DCE">
        <w:t xml:space="preserve">that </w:t>
      </w:r>
      <w:r w:rsidR="00472FC1">
        <w:t>79</w:t>
      </w:r>
      <w:r w:rsidR="00AA4DCE">
        <w:t>% of the total</w:t>
      </w:r>
      <w:r>
        <w:t xml:space="preserve"> </w:t>
      </w:r>
      <w:r w:rsidR="00BF0CD8">
        <w:t xml:space="preserve">number of such </w:t>
      </w:r>
      <w:r>
        <w:t xml:space="preserve">security incidents </w:t>
      </w:r>
      <w:r w:rsidR="00B40CB6">
        <w:t xml:space="preserve">have </w:t>
      </w:r>
      <w:r w:rsidR="00BF0CD8">
        <w:t>occurred</w:t>
      </w:r>
      <w:r w:rsidR="00AA4DCE">
        <w:t xml:space="preserve"> in</w:t>
      </w:r>
      <w:r>
        <w:t xml:space="preserve"> Kenya</w:t>
      </w:r>
      <w:r w:rsidR="00BF0CD8">
        <w:t>, Malawi and Uganda</w:t>
      </w:r>
      <w:r w:rsidR="005652DA">
        <w:t>.</w:t>
      </w:r>
      <w:r w:rsidR="00BF0CD8">
        <w:rPr>
          <w:rStyle w:val="FootnoteReference"/>
        </w:rPr>
        <w:footnoteReference w:id="1"/>
      </w:r>
      <w:r w:rsidR="00AA4DCE">
        <w:t xml:space="preserve"> </w:t>
      </w:r>
      <w:r w:rsidR="00B40CB6" w:rsidRPr="00B40CB6">
        <w:t xml:space="preserve"> </w:t>
      </w:r>
      <w:r w:rsidR="00B40CB6">
        <w:t xml:space="preserve">The remaining 10 countries have </w:t>
      </w:r>
      <w:r w:rsidR="003452CC">
        <w:t xml:space="preserve">each </w:t>
      </w:r>
      <w:r w:rsidR="00B40CB6">
        <w:t xml:space="preserve">witnessed </w:t>
      </w:r>
      <w:r w:rsidR="007445B1">
        <w:t xml:space="preserve">five or </w:t>
      </w:r>
      <w:r w:rsidR="00B40CB6">
        <w:t xml:space="preserve">fewer covid-19-related security incidents.  </w:t>
      </w:r>
    </w:p>
    <w:p w14:paraId="483ED2E6" w14:textId="77777777" w:rsidR="00425D23" w:rsidRDefault="00425D23" w:rsidP="009F2794">
      <w:pPr>
        <w:spacing w:after="0" w:line="240" w:lineRule="auto"/>
        <w:jc w:val="both"/>
      </w:pPr>
    </w:p>
    <w:p w14:paraId="673BD8F3" w14:textId="4209EDDD" w:rsidR="00D33117" w:rsidRDefault="00D33117" w:rsidP="009F2794">
      <w:pPr>
        <w:spacing w:after="0" w:line="240" w:lineRule="auto"/>
        <w:jc w:val="both"/>
      </w:pPr>
      <w:r>
        <w:t xml:space="preserve">To </w:t>
      </w:r>
      <w:r w:rsidR="00B40CB6">
        <w:t>understand</w:t>
      </w:r>
      <w:r>
        <w:t xml:space="preserve"> this observation, we took two variables that could be expected to have a direct impact on the levels of covid-19</w:t>
      </w:r>
      <w:r w:rsidR="00B40CB6">
        <w:t>-</w:t>
      </w:r>
      <w:r>
        <w:t xml:space="preserve">related security incidents: 1) </w:t>
      </w:r>
      <w:r w:rsidR="00A849C2">
        <w:t xml:space="preserve">the </w:t>
      </w:r>
      <w:r>
        <w:t xml:space="preserve">level of restrictions </w:t>
      </w:r>
      <w:r w:rsidR="00BF53F6">
        <w:t>imposed by governments in order to halt the spread the spread of the virus</w:t>
      </w:r>
      <w:r w:rsidR="00A849C2">
        <w:t>,</w:t>
      </w:r>
      <w:r w:rsidR="00BF53F6">
        <w:t xml:space="preserve"> </w:t>
      </w:r>
      <w:r>
        <w:t xml:space="preserve">and 2) </w:t>
      </w:r>
      <w:r w:rsidR="00A849C2">
        <w:t>the level</w:t>
      </w:r>
      <w:r>
        <w:t xml:space="preserve"> of freedom in each country. </w:t>
      </w:r>
    </w:p>
    <w:p w14:paraId="334C7C80" w14:textId="77777777" w:rsidR="00D33117" w:rsidRDefault="00D33117" w:rsidP="009F2794">
      <w:pPr>
        <w:spacing w:after="0" w:line="240" w:lineRule="auto"/>
        <w:jc w:val="both"/>
      </w:pPr>
    </w:p>
    <w:p w14:paraId="778F2F8A" w14:textId="0A0B782D" w:rsidR="00D33117" w:rsidRDefault="00F269D5" w:rsidP="00D33117">
      <w:pPr>
        <w:spacing w:after="0" w:line="240" w:lineRule="auto"/>
        <w:jc w:val="both"/>
      </w:pPr>
      <w:r w:rsidRPr="00D33117">
        <w:rPr>
          <w:b/>
          <w:bCs/>
          <w:noProof/>
          <w:color w:val="000000" w:themeColor="text1"/>
          <w:sz w:val="18"/>
          <w:szCs w:val="18"/>
        </w:rPr>
        <w:drawing>
          <wp:anchor distT="0" distB="0" distL="114300" distR="114300" simplePos="0" relativeHeight="251659264" behindDoc="1" locked="0" layoutInCell="1" allowOverlap="1" wp14:anchorId="4E1223EA" wp14:editId="2D77E636">
            <wp:simplePos x="0" y="0"/>
            <wp:positionH relativeFrom="column">
              <wp:posOffset>19685</wp:posOffset>
            </wp:positionH>
            <wp:positionV relativeFrom="paragraph">
              <wp:posOffset>825500</wp:posOffset>
            </wp:positionV>
            <wp:extent cx="5692775" cy="2587625"/>
            <wp:effectExtent l="12700" t="12700" r="9525" b="15875"/>
            <wp:wrapTight wrapText="bothSides">
              <wp:wrapPolygon edited="0">
                <wp:start x="-48" y="-106"/>
                <wp:lineTo x="-48" y="21627"/>
                <wp:lineTo x="21588" y="21627"/>
                <wp:lineTo x="21588" y="-106"/>
                <wp:lineTo x="-48" y="-10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3 at 08.57.16.png"/>
                    <pic:cNvPicPr/>
                  </pic:nvPicPr>
                  <pic:blipFill>
                    <a:blip r:embed="rId8">
                      <a:extLst>
                        <a:ext uri="{28A0092B-C50C-407E-A947-70E740481C1C}">
                          <a14:useLocalDpi xmlns:a14="http://schemas.microsoft.com/office/drawing/2010/main" val="0"/>
                        </a:ext>
                      </a:extLst>
                    </a:blip>
                    <a:stretch>
                      <a:fillRect/>
                    </a:stretch>
                  </pic:blipFill>
                  <pic:spPr>
                    <a:xfrm>
                      <a:off x="0" y="0"/>
                      <a:ext cx="5692775" cy="2587625"/>
                    </a:xfrm>
                    <a:prstGeom prst="rect">
                      <a:avLst/>
                    </a:prstGeom>
                    <a:ln>
                      <a:solidFill>
                        <a:schemeClr val="bg2">
                          <a:lumMod val="75000"/>
                        </a:schemeClr>
                      </a:solidFill>
                    </a:ln>
                  </pic:spPr>
                </pic:pic>
              </a:graphicData>
            </a:graphic>
            <wp14:sizeRelH relativeFrom="page">
              <wp14:pctWidth>0</wp14:pctWidth>
            </wp14:sizeRelH>
            <wp14:sizeRelV relativeFrom="page">
              <wp14:pctHeight>0</wp14:pctHeight>
            </wp14:sizeRelV>
          </wp:anchor>
        </w:drawing>
      </w:r>
      <w:r w:rsidR="00D33117">
        <w:t xml:space="preserve">Taking data from the </w:t>
      </w:r>
      <w:r w:rsidR="00D33117" w:rsidRPr="009F2794">
        <w:rPr>
          <w:lang w:val="en-GB"/>
        </w:rPr>
        <w:t>Oxford COVID-19 Government Response Tracker (</w:t>
      </w:r>
      <w:proofErr w:type="spellStart"/>
      <w:r w:rsidR="00D33117" w:rsidRPr="009F2794">
        <w:rPr>
          <w:lang w:val="en-GB"/>
        </w:rPr>
        <w:t>OxCGRT</w:t>
      </w:r>
      <w:proofErr w:type="spellEnd"/>
      <w:r w:rsidR="00D33117" w:rsidRPr="009F2794">
        <w:rPr>
          <w:lang w:val="en-GB"/>
        </w:rPr>
        <w:t>)</w:t>
      </w:r>
      <w:r w:rsidR="00D33117">
        <w:rPr>
          <w:lang w:val="en-GB"/>
        </w:rPr>
        <w:t xml:space="preserve">’s </w:t>
      </w:r>
      <w:r w:rsidR="00D33117">
        <w:t>stringency index</w:t>
      </w:r>
      <w:r w:rsidR="00D33117">
        <w:rPr>
          <w:rStyle w:val="FootnoteReference"/>
        </w:rPr>
        <w:footnoteReference w:id="2"/>
      </w:r>
      <w:r w:rsidR="00621BE6">
        <w:t xml:space="preserve">, </w:t>
      </w:r>
      <w:r w:rsidR="00BF0CD8">
        <w:t xml:space="preserve">combining with the number of covid-19-linked security incidents recorded by Standard Risk, </w:t>
      </w:r>
      <w:r w:rsidR="00621BE6">
        <w:t xml:space="preserve">and </w:t>
      </w:r>
      <w:r w:rsidR="00BF0CD8">
        <w:t xml:space="preserve">overlaid with ratings from </w:t>
      </w:r>
      <w:r w:rsidR="00D33117">
        <w:t xml:space="preserve">the </w:t>
      </w:r>
      <w:r w:rsidR="00FE4199">
        <w:t>Economist Intelligence Unit’s Democracy Index 2019</w:t>
      </w:r>
      <w:r w:rsidR="00BF0CD8">
        <w:rPr>
          <w:rStyle w:val="FootnoteReference"/>
        </w:rPr>
        <w:footnoteReference w:id="3"/>
      </w:r>
      <w:r w:rsidR="00621BE6">
        <w:t>, we get the below chart</w:t>
      </w:r>
      <w:r w:rsidR="00BF0CD8">
        <w:t>:</w:t>
      </w:r>
    </w:p>
    <w:p w14:paraId="28928E62" w14:textId="26D9BBEF" w:rsidR="00D33117" w:rsidRDefault="00D33117" w:rsidP="009F2794">
      <w:pPr>
        <w:spacing w:after="0" w:line="240" w:lineRule="auto"/>
        <w:jc w:val="both"/>
        <w:rPr>
          <w:b/>
          <w:bCs/>
          <w:sz w:val="18"/>
          <w:szCs w:val="18"/>
        </w:rPr>
      </w:pPr>
    </w:p>
    <w:p w14:paraId="0661E003" w14:textId="202C43A1" w:rsidR="00D33117" w:rsidRDefault="00D33117" w:rsidP="00621BE6">
      <w:pPr>
        <w:spacing w:after="0" w:line="240" w:lineRule="auto"/>
        <w:jc w:val="both"/>
        <w:rPr>
          <w:b/>
          <w:bCs/>
          <w:sz w:val="18"/>
          <w:szCs w:val="18"/>
        </w:rPr>
      </w:pPr>
      <w:r w:rsidRPr="00D33117">
        <w:rPr>
          <w:b/>
          <w:bCs/>
          <w:sz w:val="18"/>
          <w:szCs w:val="18"/>
        </w:rPr>
        <w:t xml:space="preserve">X-Axis: </w:t>
      </w:r>
      <w:r w:rsidR="00F80F50">
        <w:rPr>
          <w:b/>
          <w:bCs/>
          <w:sz w:val="18"/>
          <w:szCs w:val="18"/>
        </w:rPr>
        <w:t>C</w:t>
      </w:r>
      <w:r w:rsidRPr="00D33117">
        <w:rPr>
          <w:b/>
          <w:bCs/>
          <w:sz w:val="18"/>
          <w:szCs w:val="18"/>
        </w:rPr>
        <w:t>ovid-19-linked security incidents</w:t>
      </w:r>
      <w:r w:rsidR="00621BE6">
        <w:rPr>
          <w:b/>
          <w:bCs/>
          <w:sz w:val="18"/>
          <w:szCs w:val="18"/>
        </w:rPr>
        <w:t xml:space="preserve"> (1 March-7 May 2020)</w:t>
      </w:r>
      <w:r w:rsidRPr="00D33117">
        <w:rPr>
          <w:b/>
          <w:bCs/>
          <w:sz w:val="18"/>
          <w:szCs w:val="18"/>
        </w:rPr>
        <w:t xml:space="preserve">; Y-Axis: </w:t>
      </w:r>
      <w:proofErr w:type="spellStart"/>
      <w:r w:rsidRPr="00D33117">
        <w:rPr>
          <w:b/>
          <w:bCs/>
          <w:sz w:val="18"/>
          <w:szCs w:val="18"/>
        </w:rPr>
        <w:t>OxCGRT’s</w:t>
      </w:r>
      <w:proofErr w:type="spellEnd"/>
      <w:r w:rsidRPr="00D33117">
        <w:rPr>
          <w:b/>
          <w:bCs/>
          <w:sz w:val="18"/>
          <w:szCs w:val="18"/>
        </w:rPr>
        <w:t xml:space="preserve"> Stringency Index; Colour palette: </w:t>
      </w:r>
      <w:r w:rsidR="003452CC">
        <w:rPr>
          <w:b/>
          <w:bCs/>
          <w:sz w:val="18"/>
          <w:szCs w:val="18"/>
        </w:rPr>
        <w:t xml:space="preserve">EIU </w:t>
      </w:r>
      <w:r w:rsidRPr="00D33117">
        <w:rPr>
          <w:b/>
          <w:bCs/>
          <w:sz w:val="18"/>
          <w:szCs w:val="18"/>
        </w:rPr>
        <w:t>Democracy Index</w:t>
      </w:r>
      <w:r w:rsidR="003452CC">
        <w:rPr>
          <w:b/>
          <w:bCs/>
          <w:sz w:val="18"/>
          <w:szCs w:val="18"/>
        </w:rPr>
        <w:t xml:space="preserve"> 2019</w:t>
      </w:r>
      <w:r w:rsidRPr="00D33117">
        <w:rPr>
          <w:b/>
          <w:bCs/>
          <w:sz w:val="18"/>
          <w:szCs w:val="18"/>
        </w:rPr>
        <w:t xml:space="preserve">. </w:t>
      </w:r>
    </w:p>
    <w:p w14:paraId="006707DB" w14:textId="67745FAF" w:rsidR="00BF53F6" w:rsidRDefault="00BF53F6" w:rsidP="009F2794">
      <w:pPr>
        <w:spacing w:after="0" w:line="240" w:lineRule="auto"/>
        <w:jc w:val="both"/>
      </w:pPr>
      <w:r w:rsidRPr="00BF53F6">
        <w:rPr>
          <w:b/>
          <w:bCs/>
        </w:rPr>
        <w:lastRenderedPageBreak/>
        <w:t>Observations</w:t>
      </w:r>
      <w:r>
        <w:t>:</w:t>
      </w:r>
    </w:p>
    <w:p w14:paraId="154196BC" w14:textId="45CAD445" w:rsidR="00BF53F6" w:rsidRPr="00EC1A4B" w:rsidRDefault="0086784A" w:rsidP="00EC1A4B">
      <w:pPr>
        <w:spacing w:after="0" w:line="240" w:lineRule="auto"/>
        <w:jc w:val="both"/>
      </w:pPr>
      <w:r>
        <w:t xml:space="preserve">Levels of stringency </w:t>
      </w:r>
      <w:r w:rsidR="00621BE6">
        <w:t xml:space="preserve">– or restrictions – </w:t>
      </w:r>
      <w:r>
        <w:t xml:space="preserve">do not appear to </w:t>
      </w:r>
      <w:r w:rsidR="00621BE6">
        <w:t xml:space="preserve">directly </w:t>
      </w:r>
      <w:r>
        <w:t>correlate with increased violence. Eritrea</w:t>
      </w:r>
      <w:r w:rsidR="007445B1">
        <w:t xml:space="preserve"> and</w:t>
      </w:r>
      <w:r>
        <w:t xml:space="preserve"> Djibouti</w:t>
      </w:r>
      <w:r w:rsidR="007445B1">
        <w:t xml:space="preserve"> </w:t>
      </w:r>
      <w:r>
        <w:t xml:space="preserve">have comparable levels of </w:t>
      </w:r>
      <w:r w:rsidR="00621BE6">
        <w:t xml:space="preserve">restrictions </w:t>
      </w:r>
      <w:r>
        <w:t xml:space="preserve">to Kenya and Uganda, and yet </w:t>
      </w:r>
      <w:r w:rsidR="00FE4199">
        <w:t xml:space="preserve">have </w:t>
      </w:r>
      <w:r w:rsidR="00621BE6">
        <w:t>far fewer incidents</w:t>
      </w:r>
      <w:r>
        <w:t>. When you factor in</w:t>
      </w:r>
      <w:r w:rsidR="005652DA">
        <w:t xml:space="preserve"> levels of freedom</w:t>
      </w:r>
      <w:r>
        <w:t xml:space="preserve">, however, a correlation becomes more observable. The three countries with the most incidents also score </w:t>
      </w:r>
      <w:r w:rsidR="003452CC">
        <w:t xml:space="preserve">high on </w:t>
      </w:r>
      <w:r>
        <w:t xml:space="preserve">the </w:t>
      </w:r>
      <w:r w:rsidR="005652DA">
        <w:t xml:space="preserve">EIU’s </w:t>
      </w:r>
      <w:r>
        <w:t>Democracy Index.</w:t>
      </w:r>
      <w:r w:rsidR="009453BB">
        <w:t xml:space="preserve"> Although correlation does not mean causality</w:t>
      </w:r>
      <w:r w:rsidR="00F34E08">
        <w:t xml:space="preserve">, the chart suggests that </w:t>
      </w:r>
      <w:r w:rsidR="00F34E08" w:rsidRPr="00F34E08">
        <w:rPr>
          <w:b/>
          <w:bCs/>
        </w:rPr>
        <w:t xml:space="preserve">government-imposed restrictions can lead to increased security incidents </w:t>
      </w:r>
      <w:r w:rsidR="00BF53F6" w:rsidRPr="00F34E08">
        <w:rPr>
          <w:b/>
          <w:bCs/>
        </w:rPr>
        <w:t xml:space="preserve">but </w:t>
      </w:r>
      <w:r w:rsidR="00BF53F6" w:rsidRPr="00D44271">
        <w:rPr>
          <w:b/>
          <w:bCs/>
        </w:rPr>
        <w:t>only where a certain level of freedom exists</w:t>
      </w:r>
      <w:r w:rsidR="00BF53F6">
        <w:t xml:space="preserve">. </w:t>
      </w:r>
    </w:p>
    <w:p w14:paraId="10405456" w14:textId="198E12B9" w:rsidR="00BF53F6" w:rsidRDefault="00BF53F6" w:rsidP="00BF53F6">
      <w:pPr>
        <w:spacing w:after="0" w:line="240" w:lineRule="auto"/>
        <w:jc w:val="both"/>
      </w:pPr>
    </w:p>
    <w:p w14:paraId="7028A407" w14:textId="6B440F83" w:rsidR="005A2F43" w:rsidRDefault="005A2F43" w:rsidP="009E6B82">
      <w:pPr>
        <w:spacing w:after="0" w:line="240" w:lineRule="auto"/>
        <w:jc w:val="both"/>
      </w:pPr>
      <w:r>
        <w:t xml:space="preserve">Digging into the types and dates of incidents recorded, several patterns are also observable. The vast majority </w:t>
      </w:r>
      <w:r w:rsidR="008933FB">
        <w:t xml:space="preserve">(83%) </w:t>
      </w:r>
      <w:r>
        <w:t>of incidents in Malawi are linked to protests ahead of the expected imposition of a 21</w:t>
      </w:r>
      <w:r w:rsidR="00621BE6">
        <w:t>-</w:t>
      </w:r>
      <w:r>
        <w:t xml:space="preserve">day lockdown starting 18 April (the government’s decision was subsequently blocked by the High </w:t>
      </w:r>
      <w:r w:rsidRPr="007445B1">
        <w:t xml:space="preserve">Court). Meanwhile, in Kenya and Uganda, most security incidents took place in the first </w:t>
      </w:r>
      <w:r w:rsidR="00621BE6" w:rsidRPr="007445B1">
        <w:t xml:space="preserve">two </w:t>
      </w:r>
      <w:r w:rsidRPr="007445B1">
        <w:t xml:space="preserve">weeks </w:t>
      </w:r>
      <w:r w:rsidR="00703E3D" w:rsidRPr="007445B1">
        <w:t>after restrictions were imposed</w:t>
      </w:r>
      <w:r w:rsidRPr="007445B1">
        <w:t xml:space="preserve">. </w:t>
      </w:r>
      <w:r w:rsidR="0040474A" w:rsidRPr="007445B1">
        <w:t>It is</w:t>
      </w:r>
      <w:r w:rsidR="0040474A">
        <w:t xml:space="preserve"> perhaps not surprising that t</w:t>
      </w:r>
      <w:r w:rsidR="005A7FA7">
        <w:t xml:space="preserve">he evidence </w:t>
      </w:r>
      <w:r w:rsidR="0040474A">
        <w:t>suggests that</w:t>
      </w:r>
      <w:r w:rsidR="005A7FA7">
        <w:t xml:space="preserve"> </w:t>
      </w:r>
      <w:r w:rsidR="00703E3D">
        <w:rPr>
          <w:b/>
          <w:bCs/>
        </w:rPr>
        <w:t>c</w:t>
      </w:r>
      <w:r w:rsidR="005A7FA7" w:rsidRPr="005A7FA7">
        <w:rPr>
          <w:b/>
          <w:bCs/>
        </w:rPr>
        <w:t>ovid-19</w:t>
      </w:r>
      <w:r w:rsidR="00EC1A4B">
        <w:rPr>
          <w:b/>
          <w:bCs/>
        </w:rPr>
        <w:t>-</w:t>
      </w:r>
      <w:r w:rsidR="005A7FA7" w:rsidRPr="005A7FA7">
        <w:rPr>
          <w:b/>
          <w:bCs/>
        </w:rPr>
        <w:t>linked security incidents are highest immediately before and after the imposition (or planned imposition) of restrictions</w:t>
      </w:r>
      <w:r w:rsidR="0040474A">
        <w:t>.</w:t>
      </w:r>
      <w:r w:rsidR="005A7FA7">
        <w:t xml:space="preserve"> </w:t>
      </w:r>
      <w:r w:rsidR="00621BE6">
        <w:t>Restrictions represent shocks to the status quo, which heighten the likelihood of security incident</w:t>
      </w:r>
      <w:r w:rsidR="00703E3D">
        <w:t>s</w:t>
      </w:r>
      <w:r w:rsidR="00621BE6">
        <w:t xml:space="preserve">. Over time, however, as restrictions become the new normal and a new equilibrium is </w:t>
      </w:r>
      <w:r w:rsidR="00703E3D">
        <w:t>established</w:t>
      </w:r>
      <w:r w:rsidR="00621BE6">
        <w:t>, the likelihood of security incidents drops.</w:t>
      </w:r>
      <w:r w:rsidR="00703E3D">
        <w:t xml:space="preserve"> This has been seen in both Kenya and Uganda where incidents peaked immediately after restrictions were imposed, then faded</w:t>
      </w:r>
      <w:r w:rsidR="007445B1">
        <w:t xml:space="preserve"> (although have not disappeared entirely).</w:t>
      </w:r>
    </w:p>
    <w:p w14:paraId="4869BE8D" w14:textId="77777777" w:rsidR="00022DA8" w:rsidRDefault="00022DA8" w:rsidP="00BF53F6">
      <w:pPr>
        <w:spacing w:after="0" w:line="240" w:lineRule="auto"/>
        <w:jc w:val="both"/>
      </w:pPr>
    </w:p>
    <w:p w14:paraId="0EF016E6" w14:textId="7EB2F904" w:rsidR="00BF53F6" w:rsidRPr="004F3C73" w:rsidRDefault="009453BB" w:rsidP="00BF53F6">
      <w:pPr>
        <w:spacing w:after="0" w:line="240" w:lineRule="auto"/>
        <w:jc w:val="both"/>
        <w:rPr>
          <w:b/>
          <w:bCs/>
        </w:rPr>
      </w:pPr>
      <w:r>
        <w:rPr>
          <w:b/>
          <w:bCs/>
        </w:rPr>
        <w:t>Why does this matter?</w:t>
      </w:r>
    </w:p>
    <w:p w14:paraId="057822CF" w14:textId="711D7CD6" w:rsidR="005A7FA7" w:rsidRDefault="00F34E08" w:rsidP="005A7FA7">
      <w:pPr>
        <w:spacing w:after="0" w:line="240" w:lineRule="auto"/>
        <w:jc w:val="both"/>
      </w:pPr>
      <w:r>
        <w:t xml:space="preserve">If this assessment holds true, then </w:t>
      </w:r>
      <w:r w:rsidR="00703E3D">
        <w:t>we can argue that</w:t>
      </w:r>
      <w:r w:rsidR="00BF53F6">
        <w:t xml:space="preserve">: </w:t>
      </w:r>
    </w:p>
    <w:p w14:paraId="7DC31536" w14:textId="71F8CF3D" w:rsidR="005A7FA7" w:rsidRDefault="005A7FA7" w:rsidP="00BF53F6">
      <w:pPr>
        <w:pStyle w:val="ListParagraph"/>
        <w:numPr>
          <w:ilvl w:val="0"/>
          <w:numId w:val="7"/>
        </w:numPr>
        <w:spacing w:after="0" w:line="240" w:lineRule="auto"/>
        <w:jc w:val="both"/>
      </w:pPr>
      <w:r>
        <w:t xml:space="preserve">Changes in government restrictions in non-authoritarian regimes </w:t>
      </w:r>
      <w:r w:rsidR="00703E3D">
        <w:t xml:space="preserve">tend to </w:t>
      </w:r>
      <w:r>
        <w:t xml:space="preserve">prompt an increase in security incidents. </w:t>
      </w:r>
      <w:r w:rsidR="00703E3D">
        <w:t xml:space="preserve">This works for the East </w:t>
      </w:r>
      <w:r w:rsidR="00EC1A4B">
        <w:t xml:space="preserve">and Central </w:t>
      </w:r>
      <w:r w:rsidR="00703E3D">
        <w:t>Africa region, and it may work elsewhere.</w:t>
      </w:r>
    </w:p>
    <w:p w14:paraId="4D354571" w14:textId="6BCEAA88" w:rsidR="009E6B82" w:rsidRDefault="00703E3D" w:rsidP="009E6B82">
      <w:pPr>
        <w:pStyle w:val="ListParagraph"/>
        <w:numPr>
          <w:ilvl w:val="0"/>
          <w:numId w:val="7"/>
        </w:numPr>
        <w:spacing w:after="0" w:line="240" w:lineRule="auto"/>
        <w:jc w:val="both"/>
      </w:pPr>
      <w:r>
        <w:t xml:space="preserve">For the region, </w:t>
      </w:r>
      <w:r w:rsidR="00BF53F6">
        <w:t xml:space="preserve">Malawi </w:t>
      </w:r>
      <w:r>
        <w:t xml:space="preserve">will likely </w:t>
      </w:r>
      <w:r w:rsidR="00F34E08">
        <w:t xml:space="preserve">see a spike in incidents if the government re-attempts to impose or succeeds in imposing a lockdown. </w:t>
      </w:r>
      <w:r w:rsidR="00BF53F6" w:rsidRPr="00F34E08">
        <w:t>If Tanzania were to impose significant restrictions then</w:t>
      </w:r>
      <w:r w:rsidR="00F34E08" w:rsidRPr="00F34E08">
        <w:t xml:space="preserve"> </w:t>
      </w:r>
      <w:r w:rsidR="00BF53F6" w:rsidRPr="00F34E08">
        <w:t xml:space="preserve">it is likely that incidents will rapidly increase. </w:t>
      </w:r>
      <w:r>
        <w:t xml:space="preserve">Presuming </w:t>
      </w:r>
      <w:r w:rsidR="002752AF">
        <w:t xml:space="preserve">the pandemic continues to negatively impact local economies, Ethiopia </w:t>
      </w:r>
      <w:r>
        <w:t>is</w:t>
      </w:r>
      <w:r w:rsidR="002752AF">
        <w:t xml:space="preserve"> particularly vulnerable to social unrest over</w:t>
      </w:r>
      <w:r w:rsidR="00B40CB6">
        <w:t xml:space="preserve"> </w:t>
      </w:r>
      <w:r w:rsidR="002752AF">
        <w:t xml:space="preserve">time. Although </w:t>
      </w:r>
      <w:r w:rsidR="0003428F">
        <w:t>classified</w:t>
      </w:r>
      <w:r w:rsidR="002752AF">
        <w:t xml:space="preserve"> as ‘not free’, </w:t>
      </w:r>
      <w:r>
        <w:t>it is</w:t>
      </w:r>
      <w:r w:rsidR="002752AF">
        <w:t xml:space="preserve"> </w:t>
      </w:r>
      <w:r>
        <w:t>c</w:t>
      </w:r>
      <w:r w:rsidR="002752AF">
        <w:t xml:space="preserve">loser to being ‘partly free’ than other countries in </w:t>
      </w:r>
      <w:r w:rsidR="0003428F">
        <w:t>the</w:t>
      </w:r>
      <w:r w:rsidR="002752AF">
        <w:t xml:space="preserve"> category. With a recent history of heavy protests, Ethiopia is perhaps the country to watch most closely.</w:t>
      </w:r>
      <w:r>
        <w:t xml:space="preserve"> For all three countries, the announcement and imposition of restrictions can be seen as destabilising factors, and </w:t>
      </w:r>
      <w:r w:rsidR="0003428F">
        <w:t>accordingly could be considered as triggers for contingency planning.</w:t>
      </w:r>
      <w:r w:rsidR="00EC1A4B">
        <w:t xml:space="preserve"> </w:t>
      </w:r>
      <w:r w:rsidR="0003428F">
        <w:t>By contrast, r</w:t>
      </w:r>
      <w:r>
        <w:t xml:space="preserve">estrictions in Burundi can likely be increased without resulting in a </w:t>
      </w:r>
      <w:r w:rsidR="0003428F">
        <w:t>rise</w:t>
      </w:r>
      <w:r>
        <w:t xml:space="preserve"> in security incidents</w:t>
      </w:r>
      <w:r w:rsidR="0003428F">
        <w:t>, making new restrictions less applicable as a trigger for contingency planning.</w:t>
      </w:r>
    </w:p>
    <w:p w14:paraId="2B32F84E" w14:textId="77777777" w:rsidR="00F34E08" w:rsidRDefault="00F34E08" w:rsidP="00F34E08">
      <w:pPr>
        <w:spacing w:after="0" w:line="240" w:lineRule="auto"/>
        <w:jc w:val="both"/>
        <w:rPr>
          <w:color w:val="FF0000"/>
        </w:rPr>
      </w:pPr>
    </w:p>
    <w:p w14:paraId="79F47D1E" w14:textId="07B0DFEE" w:rsidR="00BF53F6" w:rsidRDefault="002752AF" w:rsidP="002752AF">
      <w:pPr>
        <w:spacing w:after="0" w:line="240" w:lineRule="auto"/>
        <w:jc w:val="both"/>
        <w:rPr>
          <w:b/>
          <w:bCs/>
        </w:rPr>
      </w:pPr>
      <w:r>
        <w:rPr>
          <w:b/>
          <w:bCs/>
        </w:rPr>
        <w:t>Caveats</w:t>
      </w:r>
      <w:r w:rsidRPr="00BF53F6">
        <w:rPr>
          <w:b/>
          <w:bCs/>
        </w:rPr>
        <w:t>:</w:t>
      </w:r>
    </w:p>
    <w:p w14:paraId="2252133A" w14:textId="22AA1CAD" w:rsidR="002752AF" w:rsidRDefault="002752AF" w:rsidP="005652DA">
      <w:pPr>
        <w:spacing w:after="0" w:line="240" w:lineRule="auto"/>
        <w:jc w:val="both"/>
      </w:pPr>
      <w:r>
        <w:t>The assessment is based off results from 13 countries</w:t>
      </w:r>
      <w:r w:rsidR="005B6182">
        <w:t>;</w:t>
      </w:r>
      <w:r>
        <w:t xml:space="preserve"> a small data set. Moreover, a multitude of factors influence the likelihood of the occurrence of security incidents</w:t>
      </w:r>
      <w:r w:rsidR="00935396">
        <w:t>, including precedents, norms and cultural factors.</w:t>
      </w:r>
      <w:r>
        <w:t xml:space="preserve"> </w:t>
      </w:r>
      <w:r w:rsidR="0064005F">
        <w:t>Over time, other factors may alter the results of th</w:t>
      </w:r>
      <w:r w:rsidR="005B6182">
        <w:t>is</w:t>
      </w:r>
      <w:r w:rsidR="0064005F">
        <w:t xml:space="preserve"> assessment. Economic hardship, for instance, is </w:t>
      </w:r>
      <w:r w:rsidR="005B6182">
        <w:t xml:space="preserve">an </w:t>
      </w:r>
      <w:r w:rsidR="0064005F">
        <w:t>all but inevitable consequence of the pandemic</w:t>
      </w:r>
      <w:r w:rsidR="005B6182">
        <w:t xml:space="preserve"> and this will likely further alter the existing security environment</w:t>
      </w:r>
      <w:r w:rsidR="0064005F">
        <w:t xml:space="preserve">. </w:t>
      </w:r>
    </w:p>
    <w:p w14:paraId="1DE68B71" w14:textId="5D49C388" w:rsidR="009E6B82" w:rsidRDefault="005B6182" w:rsidP="009E6B82">
      <w:pPr>
        <w:spacing w:after="0" w:line="240" w:lineRule="auto"/>
        <w:jc w:val="both"/>
      </w:pPr>
      <w:r>
        <w:t>Additional</w:t>
      </w:r>
      <w:r w:rsidR="009E6B82">
        <w:t xml:space="preserve"> research is required to determine whether the same observations and conclusions can be applied outside of the East and Central African region.</w:t>
      </w:r>
    </w:p>
    <w:p w14:paraId="5BAC0CAD" w14:textId="77777777" w:rsidR="002752AF" w:rsidRDefault="002752AF" w:rsidP="002752AF">
      <w:pPr>
        <w:spacing w:after="0" w:line="240" w:lineRule="auto"/>
        <w:jc w:val="both"/>
      </w:pPr>
    </w:p>
    <w:p w14:paraId="20A7D622" w14:textId="7F16D7D5" w:rsidR="00BF53F6" w:rsidRDefault="005B6182" w:rsidP="009F2794">
      <w:pPr>
        <w:spacing w:after="0" w:line="240" w:lineRule="auto"/>
        <w:jc w:val="both"/>
      </w:pPr>
      <w:r>
        <w:rPr>
          <w:b/>
          <w:bCs/>
        </w:rPr>
        <w:t>Data sources</w:t>
      </w:r>
    </w:p>
    <w:p w14:paraId="48A39064" w14:textId="38F41277" w:rsidR="00D33117" w:rsidRDefault="00BF53F6" w:rsidP="009F2794">
      <w:pPr>
        <w:spacing w:after="0" w:line="240" w:lineRule="auto"/>
        <w:jc w:val="both"/>
      </w:pPr>
      <w:r>
        <w:t xml:space="preserve">The </w:t>
      </w:r>
      <w:proofErr w:type="spellStart"/>
      <w:r w:rsidR="0003428F">
        <w:t>OxCGRT</w:t>
      </w:r>
      <w:proofErr w:type="spellEnd"/>
      <w:r w:rsidR="0003428F">
        <w:t xml:space="preserve"> </w:t>
      </w:r>
      <w:r>
        <w:t xml:space="preserve">Stringency Index is out of 100, with 0 representing no changes in the operational environment and 100 representing full lockdown. Uganda and Rwanda score 93 and 100 respectively, indicating high levels of restrictions. Burundi scores 19, indicating that very limited steps have been </w:t>
      </w:r>
      <w:r>
        <w:lastRenderedPageBreak/>
        <w:t xml:space="preserve">taken. To note, Somalia and Eritrea are not covered under </w:t>
      </w:r>
      <w:proofErr w:type="spellStart"/>
      <w:r>
        <w:t>OxCGRT</w:t>
      </w:r>
      <w:proofErr w:type="spellEnd"/>
      <w:r>
        <w:t xml:space="preserve"> and so the scores are estimated by Standard Risk for these two countries, following </w:t>
      </w:r>
      <w:proofErr w:type="spellStart"/>
      <w:r>
        <w:t>OxCGRT</w:t>
      </w:r>
      <w:proofErr w:type="spellEnd"/>
      <w:r>
        <w:t xml:space="preserve"> methodology. The level of restrictions change over time, so in order to provide a fixed point for comparison the chart reflects the level of restrictions in place on 1 April.</w:t>
      </w:r>
    </w:p>
    <w:p w14:paraId="6B2F13D8" w14:textId="77777777" w:rsidR="00BF53F6" w:rsidRDefault="00BF53F6" w:rsidP="003D272F">
      <w:pPr>
        <w:spacing w:after="0" w:line="240" w:lineRule="auto"/>
        <w:jc w:val="both"/>
      </w:pPr>
    </w:p>
    <w:p w14:paraId="4E1A1A3E" w14:textId="62EE4DE4" w:rsidR="009B1EC3" w:rsidRDefault="009F7236" w:rsidP="003D272F">
      <w:pPr>
        <w:spacing w:after="0" w:line="240" w:lineRule="auto"/>
        <w:jc w:val="both"/>
      </w:pPr>
      <w:r>
        <w:t xml:space="preserve">The covid-19-linked security incidents are those incidents recorded by Standard Risk where, on balance, covid-19 was seen as the dominant factor causing the security incident. Health incidents </w:t>
      </w:r>
    </w:p>
    <w:p w14:paraId="663F9E3D" w14:textId="7AE0CE91" w:rsidR="003D272F" w:rsidRDefault="009F7236" w:rsidP="003D272F">
      <w:pPr>
        <w:spacing w:after="0" w:line="240" w:lineRule="auto"/>
        <w:jc w:val="both"/>
      </w:pPr>
      <w:r>
        <w:t xml:space="preserve">are not included (so someone contracting covid-19 isn’t considered an incident, although it may be considered as such for </w:t>
      </w:r>
      <w:r w:rsidR="00EC1A4B">
        <w:t>the</w:t>
      </w:r>
      <w:r w:rsidR="007445B1">
        <w:t xml:space="preserve"> patient’s</w:t>
      </w:r>
      <w:r>
        <w:t xml:space="preserve"> employe</w:t>
      </w:r>
      <w:r w:rsidR="00EC1A4B">
        <w:t>r</w:t>
      </w:r>
      <w:r>
        <w:t>)</w:t>
      </w:r>
      <w:r w:rsidR="00A55564">
        <w:t>. R</w:t>
      </w:r>
      <w:r>
        <w:t>ather</w:t>
      </w:r>
      <w:r w:rsidR="00A55564">
        <w:t>,</w:t>
      </w:r>
      <w:r>
        <w:t xml:space="preserve"> incidents tend to relate to protests against covid-19 </w:t>
      </w:r>
      <w:r w:rsidR="00A55564">
        <w:t>restrictions</w:t>
      </w:r>
      <w:r>
        <w:t>, and government enforcement</w:t>
      </w:r>
      <w:r w:rsidR="00A55564">
        <w:t xml:space="preserve"> of these restrictions.</w:t>
      </w:r>
    </w:p>
    <w:p w14:paraId="4A0066EC" w14:textId="77777777" w:rsidR="00BF53F6" w:rsidRDefault="00BF53F6" w:rsidP="003D272F">
      <w:pPr>
        <w:spacing w:after="0" w:line="240" w:lineRule="auto"/>
        <w:jc w:val="both"/>
      </w:pPr>
    </w:p>
    <w:p w14:paraId="44359B44" w14:textId="4601B4DF" w:rsidR="00364D61" w:rsidRDefault="00A55564" w:rsidP="00364D61">
      <w:pPr>
        <w:spacing w:after="0" w:line="240" w:lineRule="auto"/>
        <w:jc w:val="both"/>
      </w:pPr>
      <w:r>
        <w:t>The</w:t>
      </w:r>
      <w:r w:rsidR="009F2794">
        <w:t xml:space="preserve"> </w:t>
      </w:r>
      <w:r w:rsidR="003452CC">
        <w:t xml:space="preserve">Economist Intelligence Unit’s Democracy Index </w:t>
      </w:r>
      <w:r w:rsidR="005B6182">
        <w:t>assesses states and territories across 60 indications. Scored 1-10</w:t>
      </w:r>
      <w:r w:rsidR="00364D61" w:rsidRPr="00364D61">
        <w:t xml:space="preserve">, countries fall into one of four categories: full democracy; flawed democracy; hybrid regime; and authoritarian regime. </w:t>
      </w:r>
    </w:p>
    <w:p w14:paraId="6BAD3CA6" w14:textId="6FFC9773" w:rsidR="00022DA8" w:rsidRDefault="00022DA8" w:rsidP="00364D61">
      <w:pPr>
        <w:spacing w:after="0" w:line="240" w:lineRule="auto"/>
        <w:jc w:val="both"/>
      </w:pPr>
    </w:p>
    <w:p w14:paraId="52104A88" w14:textId="36884C3F" w:rsidR="00BC21A7" w:rsidRPr="002310FB" w:rsidRDefault="002310FB" w:rsidP="00BC21A7">
      <w:r>
        <w:rPr>
          <w:sz w:val="16"/>
          <w:szCs w:val="16"/>
        </w:rPr>
        <w:t>***</w:t>
      </w:r>
    </w:p>
    <w:p w14:paraId="5F0C99FD" w14:textId="41A756ED" w:rsidR="002310FB" w:rsidRPr="00BC21A7" w:rsidRDefault="00671F81" w:rsidP="00BC21A7">
      <w:pPr>
        <w:rPr>
          <w:sz w:val="16"/>
          <w:szCs w:val="16"/>
        </w:rPr>
      </w:pPr>
      <w:r w:rsidRPr="00671F81">
        <w:t>Standard Risk is registered in the UK and Kenya, and focused on supporting organisations make better security decisions through providing security information and analysis. The team is comprised of analysts, former humanitarian workers and security professionals, who are passionate about using data and analysis for better, safer decisions.</w:t>
      </w:r>
    </w:p>
    <w:sectPr w:rsidR="002310FB" w:rsidRPr="00BC21A7" w:rsidSect="004C0EE4">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09B9" w14:textId="77777777" w:rsidR="00F311DD" w:rsidRDefault="00F311DD" w:rsidP="00030FFB">
      <w:pPr>
        <w:spacing w:after="0" w:line="240" w:lineRule="auto"/>
      </w:pPr>
      <w:r>
        <w:separator/>
      </w:r>
    </w:p>
  </w:endnote>
  <w:endnote w:type="continuationSeparator" w:id="0">
    <w:p w14:paraId="74FA8C63" w14:textId="77777777" w:rsidR="00F311DD" w:rsidRDefault="00F311DD" w:rsidP="0003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roy Light">
    <w:altName w:val="Calibri"/>
    <w:panose1 w:val="020B0604020202020204"/>
    <w:charset w:val="4D"/>
    <w:family w:val="auto"/>
    <w:notTrueType/>
    <w:pitch w:val="variable"/>
    <w:sig w:usb0="00000207" w:usb1="00000000" w:usb2="00000000" w:usb3="00000000" w:csb0="00000097"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7D8F" w14:textId="77777777" w:rsidR="00496D2F" w:rsidRDefault="00496D2F" w:rsidP="004C0EE4">
    <w:pPr>
      <w:spacing w:after="0"/>
      <w:rPr>
        <w:rFonts w:ascii="Avenir Book" w:hAnsi="Avenir Book"/>
        <w:i/>
        <w:iCs/>
        <w:sz w:val="16"/>
        <w:szCs w:val="16"/>
      </w:rPr>
    </w:pPr>
  </w:p>
  <w:p w14:paraId="39264675" w14:textId="1C08C703" w:rsidR="004C0EE4" w:rsidRDefault="004C0EE4" w:rsidP="004C0EE4">
    <w:pPr>
      <w:spacing w:after="0"/>
      <w:rPr>
        <w:rFonts w:ascii="Avenir Book" w:hAnsi="Avenir Book"/>
        <w:i/>
        <w:iCs/>
        <w:sz w:val="16"/>
        <w:szCs w:val="16"/>
      </w:rPr>
    </w:pPr>
    <w:r w:rsidRPr="003C5A31">
      <w:rPr>
        <w:rFonts w:ascii="Avenir Book" w:hAnsi="Avenir Book"/>
        <w:i/>
        <w:iCs/>
        <w:sz w:val="16"/>
        <w:szCs w:val="16"/>
      </w:rPr>
      <w:t>Reproduction</w:t>
    </w:r>
    <w:r>
      <w:rPr>
        <w:rFonts w:ascii="Avenir Book" w:hAnsi="Avenir Book"/>
        <w:i/>
        <w:iCs/>
        <w:sz w:val="16"/>
        <w:szCs w:val="16"/>
      </w:rPr>
      <w:t>,</w:t>
    </w:r>
    <w:r w:rsidRPr="003C5A31">
      <w:rPr>
        <w:rFonts w:ascii="Avenir Book" w:hAnsi="Avenir Book"/>
        <w:i/>
        <w:iCs/>
        <w:sz w:val="16"/>
        <w:szCs w:val="16"/>
      </w:rPr>
      <w:t xml:space="preserve"> in whole or in part, as well as further dissemination, </w:t>
    </w:r>
    <w:r>
      <w:rPr>
        <w:rFonts w:ascii="Avenir Book" w:hAnsi="Avenir Book"/>
        <w:i/>
        <w:iCs/>
        <w:sz w:val="16"/>
        <w:szCs w:val="16"/>
      </w:rPr>
      <w:t>needs</w:t>
    </w:r>
    <w:r w:rsidRPr="003C5A31">
      <w:rPr>
        <w:rFonts w:ascii="Avenir Book" w:hAnsi="Avenir Book"/>
        <w:i/>
        <w:iCs/>
        <w:sz w:val="16"/>
        <w:szCs w:val="16"/>
      </w:rPr>
      <w:t xml:space="preserve"> prior consent of the Company. </w:t>
    </w:r>
  </w:p>
  <w:p w14:paraId="6A8A065E" w14:textId="26B45EB5" w:rsidR="004C0EE4" w:rsidRDefault="004C0EE4" w:rsidP="004C0EE4">
    <w:pPr>
      <w:spacing w:after="0"/>
      <w:rPr>
        <w:rFonts w:ascii="Avenir Book" w:hAnsi="Avenir Book"/>
        <w:i/>
        <w:iCs/>
        <w:sz w:val="16"/>
        <w:szCs w:val="16"/>
      </w:rPr>
    </w:pPr>
    <w:r w:rsidRPr="003C5A31">
      <w:rPr>
        <w:rFonts w:ascii="Avenir Book" w:hAnsi="Avenir Book"/>
        <w:i/>
        <w:iCs/>
        <w:sz w:val="16"/>
        <w:szCs w:val="16"/>
      </w:rPr>
      <w:t>Copyright Standard Risk Ltd 2020. All rights reserved.</w:t>
    </w:r>
  </w:p>
  <w:p w14:paraId="70A21ED7" w14:textId="77777777" w:rsidR="004C0EE4" w:rsidRDefault="004C0EE4" w:rsidP="004C0EE4">
    <w:pPr>
      <w:spacing w:after="0"/>
      <w:rPr>
        <w:rFonts w:ascii="Avenir Book" w:hAnsi="Avenir Book"/>
        <w:i/>
        <w:iCs/>
        <w:sz w:val="16"/>
        <w:szCs w:val="16"/>
      </w:rPr>
    </w:pPr>
  </w:p>
  <w:p w14:paraId="49E0F15C" w14:textId="068E1274" w:rsidR="004C0EE4" w:rsidRPr="004C0EE4" w:rsidRDefault="004C0EE4" w:rsidP="004C0EE4">
    <w:pPr>
      <w:spacing w:after="0"/>
      <w:jc w:val="center"/>
      <w:rPr>
        <w:rFonts w:ascii="Avenir Book" w:hAnsi="Avenir Book"/>
        <w:b/>
        <w:bCs/>
        <w:sz w:val="16"/>
        <w:szCs w:val="16"/>
      </w:rPr>
    </w:pPr>
    <w:r w:rsidRPr="004C0EE4">
      <w:rPr>
        <w:rFonts w:ascii="Avenir Book" w:hAnsi="Avenir Book"/>
        <w:b/>
        <w:bCs/>
        <w:sz w:val="16"/>
        <w:szCs w:val="16"/>
      </w:rPr>
      <w:t xml:space="preserve">For more information visit </w:t>
    </w:r>
    <w:hyperlink r:id="rId1" w:history="1">
      <w:r w:rsidRPr="004C0EE4">
        <w:rPr>
          <w:rStyle w:val="Hyperlink"/>
          <w:rFonts w:ascii="Avenir Book" w:hAnsi="Avenir Book"/>
          <w:b/>
          <w:bCs/>
          <w:sz w:val="16"/>
          <w:szCs w:val="16"/>
        </w:rPr>
        <w:t>www.standardrisk.com</w:t>
      </w:r>
    </w:hyperlink>
    <w:r w:rsidRPr="004C0EE4">
      <w:rPr>
        <w:rFonts w:ascii="Avenir Book" w:hAnsi="Avenir Book"/>
        <w:b/>
        <w:bCs/>
        <w:sz w:val="16"/>
        <w:szCs w:val="16"/>
      </w:rPr>
      <w:t xml:space="preserve">, or contact us at </w:t>
    </w:r>
    <w:hyperlink r:id="rId2" w:history="1">
      <w:r w:rsidRPr="004C0EE4">
        <w:rPr>
          <w:rStyle w:val="Hyperlink"/>
          <w:rFonts w:ascii="Avenir Book" w:hAnsi="Avenir Book"/>
          <w:b/>
          <w:bCs/>
          <w:sz w:val="16"/>
          <w:szCs w:val="16"/>
        </w:rPr>
        <w:t>hello@standardrisk.com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94B6" w14:textId="77777777" w:rsidR="00F311DD" w:rsidRDefault="00F311DD" w:rsidP="00030FFB">
      <w:pPr>
        <w:spacing w:after="0" w:line="240" w:lineRule="auto"/>
      </w:pPr>
      <w:r>
        <w:separator/>
      </w:r>
    </w:p>
  </w:footnote>
  <w:footnote w:type="continuationSeparator" w:id="0">
    <w:p w14:paraId="666620F3" w14:textId="77777777" w:rsidR="00F311DD" w:rsidRDefault="00F311DD" w:rsidP="00030FFB">
      <w:pPr>
        <w:spacing w:after="0" w:line="240" w:lineRule="auto"/>
      </w:pPr>
      <w:r>
        <w:continuationSeparator/>
      </w:r>
    </w:p>
  </w:footnote>
  <w:footnote w:id="1">
    <w:p w14:paraId="52B7B5C0" w14:textId="0E6B257C" w:rsidR="00BF0CD8" w:rsidRPr="00BF0CD8" w:rsidRDefault="00BF0CD8">
      <w:pPr>
        <w:pStyle w:val="FootnoteText"/>
        <w:rPr>
          <w:sz w:val="16"/>
          <w:szCs w:val="16"/>
          <w:lang w:val="en-GB"/>
        </w:rPr>
      </w:pPr>
      <w:r w:rsidRPr="00BF0CD8">
        <w:rPr>
          <w:rStyle w:val="FootnoteReference"/>
          <w:sz w:val="16"/>
          <w:szCs w:val="16"/>
        </w:rPr>
        <w:footnoteRef/>
      </w:r>
      <w:r w:rsidRPr="00BF0CD8">
        <w:rPr>
          <w:sz w:val="16"/>
          <w:szCs w:val="16"/>
        </w:rPr>
        <w:t xml:space="preserve"> </w:t>
      </w:r>
      <w:r w:rsidR="002310FB">
        <w:rPr>
          <w:sz w:val="16"/>
          <w:szCs w:val="16"/>
        </w:rPr>
        <w:t xml:space="preserve">Standard Risk monitoring, for </w:t>
      </w:r>
      <w:r w:rsidRPr="00BF0CD8">
        <w:rPr>
          <w:sz w:val="16"/>
          <w:szCs w:val="16"/>
          <w:lang w:val="en-GB"/>
        </w:rPr>
        <w:t>1 March-7 May 2020</w:t>
      </w:r>
    </w:p>
  </w:footnote>
  <w:footnote w:id="2">
    <w:p w14:paraId="34898C11" w14:textId="1D84E60C" w:rsidR="00D33117" w:rsidRPr="00D44271" w:rsidRDefault="00D33117" w:rsidP="00D33117">
      <w:pPr>
        <w:pStyle w:val="NoSpacing"/>
        <w:rPr>
          <w:sz w:val="16"/>
          <w:szCs w:val="16"/>
          <w:lang w:val="en-GB"/>
        </w:rPr>
      </w:pPr>
      <w:r w:rsidRPr="00D44271">
        <w:rPr>
          <w:rStyle w:val="FootnoteReference"/>
          <w:sz w:val="16"/>
          <w:szCs w:val="16"/>
        </w:rPr>
        <w:footnoteRef/>
      </w:r>
      <w:r w:rsidR="002310FB">
        <w:rPr>
          <w:sz w:val="16"/>
          <w:szCs w:val="16"/>
        </w:rPr>
        <w:t xml:space="preserve"> </w:t>
      </w:r>
      <w:proofErr w:type="spellStart"/>
      <w:r w:rsidRPr="00D44271">
        <w:rPr>
          <w:sz w:val="16"/>
          <w:szCs w:val="16"/>
          <w:lang w:val="en-GB"/>
        </w:rPr>
        <w:t>Blavatnik</w:t>
      </w:r>
      <w:proofErr w:type="spellEnd"/>
      <w:r w:rsidRPr="00D44271">
        <w:rPr>
          <w:sz w:val="16"/>
          <w:szCs w:val="16"/>
          <w:lang w:val="en-GB"/>
        </w:rPr>
        <w:t xml:space="preserve"> School of Government, University of Oxford. </w:t>
      </w:r>
      <w:r w:rsidRPr="00D44271">
        <w:rPr>
          <w:sz w:val="16"/>
          <w:szCs w:val="16"/>
        </w:rPr>
        <w:t>Data given for 1 April.</w:t>
      </w:r>
      <w:r w:rsidR="002310FB">
        <w:rPr>
          <w:sz w:val="16"/>
          <w:szCs w:val="16"/>
        </w:rPr>
        <w:t xml:space="preserve"> </w:t>
      </w:r>
      <w:hyperlink r:id="rId1" w:history="1">
        <w:r w:rsidR="002310FB" w:rsidRPr="00D44271">
          <w:rPr>
            <w:rStyle w:val="Hyperlink"/>
            <w:sz w:val="16"/>
            <w:szCs w:val="16"/>
          </w:rPr>
          <w:t>https://www.bsg.ox.ac.uk/research/research-projects/coronavirus-government-response-tracker</w:t>
        </w:r>
      </w:hyperlink>
    </w:p>
  </w:footnote>
  <w:footnote w:id="3">
    <w:p w14:paraId="40BBE415" w14:textId="7D493E33" w:rsidR="00BF0CD8" w:rsidRPr="009971E9" w:rsidRDefault="00BF0CD8" w:rsidP="00BF0CD8">
      <w:pPr>
        <w:pStyle w:val="NoSpacing"/>
      </w:pPr>
      <w:r w:rsidRPr="00D44271">
        <w:rPr>
          <w:rStyle w:val="FootnoteReference"/>
          <w:sz w:val="16"/>
          <w:szCs w:val="16"/>
        </w:rPr>
        <w:footnoteRef/>
      </w:r>
      <w:r w:rsidRPr="00D44271">
        <w:rPr>
          <w:sz w:val="16"/>
          <w:szCs w:val="16"/>
        </w:rPr>
        <w:t xml:space="preserve"> </w:t>
      </w:r>
      <w:r w:rsidR="002310FB">
        <w:rPr>
          <w:sz w:val="16"/>
          <w:szCs w:val="16"/>
        </w:rPr>
        <w:t xml:space="preserve">Economist Intelligence Unit Democracy Index 2019: </w:t>
      </w:r>
      <w:hyperlink r:id="rId2" w:history="1">
        <w:r w:rsidRPr="003452CC">
          <w:rPr>
            <w:rStyle w:val="Hyperlink"/>
            <w:sz w:val="16"/>
            <w:szCs w:val="16"/>
            <w:lang w:val="en-GB"/>
          </w:rPr>
          <w:t>https://www.eiu.com/public/topical_report.aspx?campaignid=democracyindex2019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338" w14:textId="40BE7F9C" w:rsidR="005D54EB" w:rsidRDefault="00076A0E">
    <w:pPr>
      <w:pStyle w:val="Header"/>
    </w:pPr>
    <w:r>
      <w:rPr>
        <w:noProof/>
      </w:rPr>
      <w:drawing>
        <wp:anchor distT="0" distB="0" distL="114300" distR="114300" simplePos="0" relativeHeight="251658239" behindDoc="0" locked="0" layoutInCell="1" allowOverlap="1" wp14:anchorId="1746CA08" wp14:editId="383D7B0D">
          <wp:simplePos x="0" y="0"/>
          <wp:positionH relativeFrom="column">
            <wp:posOffset>-922216</wp:posOffset>
          </wp:positionH>
          <wp:positionV relativeFrom="paragraph">
            <wp:posOffset>-447783</wp:posOffset>
          </wp:positionV>
          <wp:extent cx="7659077" cy="62006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1).png"/>
                  <pic:cNvPicPr/>
                </pic:nvPicPr>
                <pic:blipFill>
                  <a:blip r:embed="rId1">
                    <a:extLst>
                      <a:ext uri="{28A0092B-C50C-407E-A947-70E740481C1C}">
                        <a14:useLocalDpi xmlns:a14="http://schemas.microsoft.com/office/drawing/2010/main" val="0"/>
                      </a:ext>
                    </a:extLst>
                  </a:blip>
                  <a:stretch>
                    <a:fillRect/>
                  </a:stretch>
                </pic:blipFill>
                <pic:spPr>
                  <a:xfrm>
                    <a:off x="0" y="0"/>
                    <a:ext cx="7851889" cy="635673"/>
                  </a:xfrm>
                  <a:prstGeom prst="rect">
                    <a:avLst/>
                  </a:prstGeom>
                </pic:spPr>
              </pic:pic>
            </a:graphicData>
          </a:graphic>
          <wp14:sizeRelH relativeFrom="margin">
            <wp14:pctWidth>0</wp14:pctWidth>
          </wp14:sizeRelH>
          <wp14:sizeRelV relativeFrom="margin">
            <wp14:pctHeight>0</wp14:pctHeight>
          </wp14:sizeRelV>
        </wp:anchor>
      </w:drawing>
    </w:r>
    <w:r w:rsidR="004D1447">
      <w:rPr>
        <w:noProof/>
      </w:rPr>
      <mc:AlternateContent>
        <mc:Choice Requires="wps">
          <w:drawing>
            <wp:anchor distT="45720" distB="45720" distL="114300" distR="114300" simplePos="0" relativeHeight="251662336" behindDoc="0" locked="0" layoutInCell="1" allowOverlap="1" wp14:anchorId="105ED4FF" wp14:editId="5273969A">
              <wp:simplePos x="0" y="0"/>
              <wp:positionH relativeFrom="column">
                <wp:posOffset>5196840</wp:posOffset>
              </wp:positionH>
              <wp:positionV relativeFrom="paragraph">
                <wp:posOffset>-293370</wp:posOffset>
              </wp:positionV>
              <wp:extent cx="1371600" cy="465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5455"/>
                      </a:xfrm>
                      <a:prstGeom prst="rect">
                        <a:avLst/>
                      </a:prstGeom>
                      <a:noFill/>
                      <a:ln w="9525">
                        <a:noFill/>
                        <a:miter lim="800000"/>
                        <a:headEnd/>
                        <a:tailEnd/>
                      </a:ln>
                    </wps:spPr>
                    <wps:txbx>
                      <w:txbxContent>
                        <w:p w14:paraId="3EBFA091" w14:textId="265E45CA" w:rsidR="0041142C" w:rsidRPr="004D1447" w:rsidRDefault="009B1EC3" w:rsidP="004D1447">
                          <w:pPr>
                            <w:jc w:val="center"/>
                            <w:rPr>
                              <w:rFonts w:ascii="Gilroy Light" w:hAnsi="Gilroy Light"/>
                              <w:color w:val="FFFFFF" w:themeColor="background1"/>
                            </w:rPr>
                          </w:pPr>
                          <w:r>
                            <w:rPr>
                              <w:rFonts w:ascii="Gilroy Light" w:hAnsi="Gilroy Light"/>
                              <w:color w:val="FFFFFF" w:themeColor="background1"/>
                            </w:rPr>
                            <w:t>1</w:t>
                          </w:r>
                          <w:r w:rsidR="005B6182">
                            <w:rPr>
                              <w:rFonts w:ascii="Gilroy Light" w:hAnsi="Gilroy Light"/>
                              <w:color w:val="FFFFFF" w:themeColor="background1"/>
                            </w:rPr>
                            <w:t>8</w:t>
                          </w:r>
                          <w:r w:rsidR="0041142C" w:rsidRPr="004D1447">
                            <w:rPr>
                              <w:rFonts w:ascii="Gilroy Light" w:hAnsi="Gilroy Light"/>
                              <w:color w:val="FFFFFF" w:themeColor="background1"/>
                            </w:rPr>
                            <w:t xml:space="preserve"> </w:t>
                          </w:r>
                          <w:r>
                            <w:rPr>
                              <w:rFonts w:ascii="Gilroy Light" w:hAnsi="Gilroy Light"/>
                              <w:color w:val="FFFFFF" w:themeColor="background1"/>
                            </w:rPr>
                            <w:t>May</w:t>
                          </w:r>
                          <w:r w:rsidR="0041142C" w:rsidRPr="004D1447">
                            <w:rPr>
                              <w:rFonts w:ascii="Gilroy Light" w:hAnsi="Gilroy Light"/>
                              <w:color w:val="FFFFFF" w:themeColor="background1"/>
                            </w:rPr>
                            <w:t xml:space="preserve"> 2020</w:t>
                          </w:r>
                        </w:p>
                      </w:txbxContent>
                    </wps:txbx>
                    <wps:bodyPr rot="0" vert="horz" wrap="square" lIns="91440" tIns="90000" rIns="9144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5ED4FF" id="_x0000_t202" coordsize="21600,21600" o:spt="202" path="m,l,21600r21600,l21600,xe">
              <v:stroke joinstyle="miter"/>
              <v:path gradientshapeok="t" o:connecttype="rect"/>
            </v:shapetype>
            <v:shape id="Text Box 2" o:spid="_x0000_s1026" type="#_x0000_t202" style="position:absolute;margin-left:409.2pt;margin-top:-23.1pt;width:108pt;height:3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" filled="f" stroked="f">
              <v:textbox inset=",2.5mm,,2.5mm">
                <w:txbxContent>
                  <w:p w14:paraId="3EBFA091" w14:textId="265E45CA" w:rsidR="0041142C" w:rsidRPr="004D1447" w:rsidRDefault="009B1EC3" w:rsidP="004D1447">
                    <w:pPr>
                      <w:jc w:val="center"/>
                      <w:rPr>
                        <w:rFonts w:ascii="Gilroy Light" w:hAnsi="Gilroy Light"/>
                        <w:color w:val="FFFFFF" w:themeColor="background1"/>
                      </w:rPr>
                    </w:pPr>
                    <w:r>
                      <w:rPr>
                        <w:rFonts w:ascii="Gilroy Light" w:hAnsi="Gilroy Light"/>
                        <w:color w:val="FFFFFF" w:themeColor="background1"/>
                      </w:rPr>
                      <w:t>1</w:t>
                    </w:r>
                    <w:r w:rsidR="005B6182">
                      <w:rPr>
                        <w:rFonts w:ascii="Gilroy Light" w:hAnsi="Gilroy Light"/>
                        <w:color w:val="FFFFFF" w:themeColor="background1"/>
                      </w:rPr>
                      <w:t>8</w:t>
                    </w:r>
                    <w:r w:rsidR="0041142C" w:rsidRPr="004D1447">
                      <w:rPr>
                        <w:rFonts w:ascii="Gilroy Light" w:hAnsi="Gilroy Light"/>
                        <w:color w:val="FFFFFF" w:themeColor="background1"/>
                      </w:rPr>
                      <w:t xml:space="preserve"> </w:t>
                    </w:r>
                    <w:r>
                      <w:rPr>
                        <w:rFonts w:ascii="Gilroy Light" w:hAnsi="Gilroy Light"/>
                        <w:color w:val="FFFFFF" w:themeColor="background1"/>
                      </w:rPr>
                      <w:t>May</w:t>
                    </w:r>
                    <w:r w:rsidR="0041142C" w:rsidRPr="004D1447">
                      <w:rPr>
                        <w:rFonts w:ascii="Gilroy Light" w:hAnsi="Gilroy Light"/>
                        <w:color w:val="FFFFFF" w:themeColor="background1"/>
                      </w:rPr>
                      <w:t xml:space="preserve"> 2020</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F953" w14:textId="7A038FEF" w:rsidR="0024094F" w:rsidRDefault="00A17033">
    <w:pPr>
      <w:pStyle w:val="Header"/>
    </w:pPr>
    <w:r w:rsidRPr="0024094F">
      <w:rPr>
        <w:noProof/>
      </w:rPr>
      <w:drawing>
        <wp:anchor distT="0" distB="0" distL="114300" distR="114300" simplePos="0" relativeHeight="251664384" behindDoc="0" locked="0" layoutInCell="1" allowOverlap="1" wp14:anchorId="4047E0C3" wp14:editId="3B656936">
          <wp:simplePos x="0" y="0"/>
          <wp:positionH relativeFrom="column">
            <wp:posOffset>-914615</wp:posOffset>
          </wp:positionH>
          <wp:positionV relativeFrom="paragraph">
            <wp:posOffset>-466090</wp:posOffset>
          </wp:positionV>
          <wp:extent cx="7658735" cy="6197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1).png"/>
                  <pic:cNvPicPr/>
                </pic:nvPicPr>
                <pic:blipFill>
                  <a:blip r:embed="rId1">
                    <a:extLst>
                      <a:ext uri="{28A0092B-C50C-407E-A947-70E740481C1C}">
                        <a14:useLocalDpi xmlns:a14="http://schemas.microsoft.com/office/drawing/2010/main" val="0"/>
                      </a:ext>
                    </a:extLst>
                  </a:blip>
                  <a:stretch>
                    <a:fillRect/>
                  </a:stretch>
                </pic:blipFill>
                <pic:spPr>
                  <a:xfrm>
                    <a:off x="0" y="0"/>
                    <a:ext cx="7658735" cy="619760"/>
                  </a:xfrm>
                  <a:prstGeom prst="rect">
                    <a:avLst/>
                  </a:prstGeom>
                </pic:spPr>
              </pic:pic>
            </a:graphicData>
          </a:graphic>
          <wp14:sizeRelH relativeFrom="margin">
            <wp14:pctWidth>0</wp14:pctWidth>
          </wp14:sizeRelH>
          <wp14:sizeRelV relativeFrom="margin">
            <wp14:pctHeight>0</wp14:pctHeight>
          </wp14:sizeRelV>
        </wp:anchor>
      </w:drawing>
    </w:r>
    <w:r w:rsidR="0024094F" w:rsidRPr="0024094F">
      <w:rPr>
        <w:noProof/>
      </w:rPr>
      <mc:AlternateContent>
        <mc:Choice Requires="wps">
          <w:drawing>
            <wp:anchor distT="45720" distB="45720" distL="114300" distR="114300" simplePos="0" relativeHeight="251665408" behindDoc="0" locked="0" layoutInCell="1" allowOverlap="1" wp14:anchorId="626B7D8D" wp14:editId="75B5CF1D">
              <wp:simplePos x="0" y="0"/>
              <wp:positionH relativeFrom="column">
                <wp:posOffset>5218430</wp:posOffset>
              </wp:positionH>
              <wp:positionV relativeFrom="paragraph">
                <wp:posOffset>-296760</wp:posOffset>
              </wp:positionV>
              <wp:extent cx="1371600" cy="4654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5455"/>
                      </a:xfrm>
                      <a:prstGeom prst="rect">
                        <a:avLst/>
                      </a:prstGeom>
                      <a:noFill/>
                      <a:ln w="9525">
                        <a:noFill/>
                        <a:miter lim="800000"/>
                        <a:headEnd/>
                        <a:tailEnd/>
                      </a:ln>
                    </wps:spPr>
                    <wps:txbx>
                      <w:txbxContent>
                        <w:p w14:paraId="6EB80299" w14:textId="384B37A3" w:rsidR="0024094F" w:rsidRPr="004D1447" w:rsidRDefault="00C269B1" w:rsidP="0024094F">
                          <w:pPr>
                            <w:jc w:val="center"/>
                            <w:rPr>
                              <w:rFonts w:ascii="Gilroy Light" w:hAnsi="Gilroy Light"/>
                              <w:color w:val="FFFFFF" w:themeColor="background1"/>
                            </w:rPr>
                          </w:pPr>
                          <w:r>
                            <w:rPr>
                              <w:rFonts w:ascii="Gilroy Light" w:hAnsi="Gilroy Light"/>
                              <w:color w:val="FFFFFF" w:themeColor="background1"/>
                            </w:rPr>
                            <w:t>1</w:t>
                          </w:r>
                          <w:r w:rsidR="007445B1">
                            <w:rPr>
                              <w:rFonts w:ascii="Gilroy Light" w:hAnsi="Gilroy Light"/>
                              <w:color w:val="FFFFFF" w:themeColor="background1"/>
                            </w:rPr>
                            <w:t>8</w:t>
                          </w:r>
                          <w:r w:rsidR="0024094F" w:rsidRPr="004D1447">
                            <w:rPr>
                              <w:rFonts w:ascii="Gilroy Light" w:hAnsi="Gilroy Light"/>
                              <w:color w:val="FFFFFF" w:themeColor="background1"/>
                            </w:rPr>
                            <w:t xml:space="preserve"> </w:t>
                          </w:r>
                          <w:r w:rsidR="009971E9">
                            <w:rPr>
                              <w:rFonts w:ascii="Gilroy Light" w:hAnsi="Gilroy Light"/>
                              <w:color w:val="FFFFFF" w:themeColor="background1"/>
                            </w:rPr>
                            <w:t>May</w:t>
                          </w:r>
                          <w:r w:rsidR="0024094F" w:rsidRPr="004D1447">
                            <w:rPr>
                              <w:rFonts w:ascii="Gilroy Light" w:hAnsi="Gilroy Light"/>
                              <w:color w:val="FFFFFF" w:themeColor="background1"/>
                            </w:rPr>
                            <w:t xml:space="preserve"> 2020</w:t>
                          </w:r>
                        </w:p>
                      </w:txbxContent>
                    </wps:txbx>
                    <wps:bodyPr rot="0" vert="horz" wrap="square" lIns="91440" tIns="90000" rIns="9144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6B7D8D" id="_x0000_t202" coordsize="21600,21600" o:spt="202" path="m,l,21600r21600,l21600,xe">
              <v:stroke joinstyle="miter"/>
              <v:path gradientshapeok="t" o:connecttype="rect"/>
            </v:shapetype>
            <v:shape id="_x0000_s1027" type="#_x0000_t202" style="position:absolute;margin-left:410.9pt;margin-top:-23.35pt;width:108pt;height:3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" filled="f" stroked="f">
              <v:textbox inset=",2.5mm,,2.5mm">
                <w:txbxContent>
                  <w:p w14:paraId="6EB80299" w14:textId="384B37A3" w:rsidR="0024094F" w:rsidRPr="004D1447" w:rsidRDefault="00C269B1" w:rsidP="0024094F">
                    <w:pPr>
                      <w:jc w:val="center"/>
                      <w:rPr>
                        <w:rFonts w:ascii="Gilroy Light" w:hAnsi="Gilroy Light"/>
                        <w:color w:val="FFFFFF" w:themeColor="background1"/>
                      </w:rPr>
                    </w:pPr>
                    <w:r>
                      <w:rPr>
                        <w:rFonts w:ascii="Gilroy Light" w:hAnsi="Gilroy Light"/>
                        <w:color w:val="FFFFFF" w:themeColor="background1"/>
                      </w:rPr>
                      <w:t>1</w:t>
                    </w:r>
                    <w:r w:rsidR="007445B1">
                      <w:rPr>
                        <w:rFonts w:ascii="Gilroy Light" w:hAnsi="Gilroy Light"/>
                        <w:color w:val="FFFFFF" w:themeColor="background1"/>
                      </w:rPr>
                      <w:t>8</w:t>
                    </w:r>
                    <w:r w:rsidR="0024094F" w:rsidRPr="004D1447">
                      <w:rPr>
                        <w:rFonts w:ascii="Gilroy Light" w:hAnsi="Gilroy Light"/>
                        <w:color w:val="FFFFFF" w:themeColor="background1"/>
                      </w:rPr>
                      <w:t xml:space="preserve"> </w:t>
                    </w:r>
                    <w:r w:rsidR="009971E9">
                      <w:rPr>
                        <w:rFonts w:ascii="Gilroy Light" w:hAnsi="Gilroy Light"/>
                        <w:color w:val="FFFFFF" w:themeColor="background1"/>
                      </w:rPr>
                      <w:t>May</w:t>
                    </w:r>
                    <w:r w:rsidR="0024094F" w:rsidRPr="004D1447">
                      <w:rPr>
                        <w:rFonts w:ascii="Gilroy Light" w:hAnsi="Gilroy Light"/>
                        <w:color w:val="FFFFFF" w:themeColor="background1"/>
                      </w:rPr>
                      <w:t xml:space="preserve"> 2020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2C"/>
    <w:multiLevelType w:val="hybridMultilevel"/>
    <w:tmpl w:val="7BE09DCC"/>
    <w:lvl w:ilvl="0" w:tplc="C3425CB2">
      <w:start w:val="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0B1A0A"/>
    <w:multiLevelType w:val="hybridMultilevel"/>
    <w:tmpl w:val="92568E5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7D042D"/>
    <w:multiLevelType w:val="hybridMultilevel"/>
    <w:tmpl w:val="C46043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27178A"/>
    <w:multiLevelType w:val="hybridMultilevel"/>
    <w:tmpl w:val="C3D425D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604949"/>
    <w:multiLevelType w:val="hybridMultilevel"/>
    <w:tmpl w:val="92568E5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4B55A54"/>
    <w:multiLevelType w:val="hybridMultilevel"/>
    <w:tmpl w:val="15280EC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9E3A5B"/>
    <w:multiLevelType w:val="hybridMultilevel"/>
    <w:tmpl w:val="C5F834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ED067DF"/>
    <w:multiLevelType w:val="hybridMultilevel"/>
    <w:tmpl w:val="6C2087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79"/>
    <w:rsid w:val="00005BCF"/>
    <w:rsid w:val="00022DA8"/>
    <w:rsid w:val="00030AE0"/>
    <w:rsid w:val="00030FFB"/>
    <w:rsid w:val="0003428F"/>
    <w:rsid w:val="00041DFF"/>
    <w:rsid w:val="00042CD9"/>
    <w:rsid w:val="00044E51"/>
    <w:rsid w:val="00054EDE"/>
    <w:rsid w:val="00063EB8"/>
    <w:rsid w:val="00064C53"/>
    <w:rsid w:val="00067486"/>
    <w:rsid w:val="00076A0E"/>
    <w:rsid w:val="000B3D1F"/>
    <w:rsid w:val="000D3B4F"/>
    <w:rsid w:val="00146CCF"/>
    <w:rsid w:val="001846DD"/>
    <w:rsid w:val="00190C75"/>
    <w:rsid w:val="001B3B9A"/>
    <w:rsid w:val="001B63F2"/>
    <w:rsid w:val="001C675E"/>
    <w:rsid w:val="002310FB"/>
    <w:rsid w:val="00237979"/>
    <w:rsid w:val="0024094F"/>
    <w:rsid w:val="00246BA5"/>
    <w:rsid w:val="002752AF"/>
    <w:rsid w:val="0027755E"/>
    <w:rsid w:val="00283991"/>
    <w:rsid w:val="002979A0"/>
    <w:rsid w:val="002A760A"/>
    <w:rsid w:val="002B0668"/>
    <w:rsid w:val="002C3821"/>
    <w:rsid w:val="002D5A8D"/>
    <w:rsid w:val="002E17E3"/>
    <w:rsid w:val="002E3C0F"/>
    <w:rsid w:val="00301AA6"/>
    <w:rsid w:val="00323DC1"/>
    <w:rsid w:val="003452CC"/>
    <w:rsid w:val="0034737A"/>
    <w:rsid w:val="00364D61"/>
    <w:rsid w:val="00366FDE"/>
    <w:rsid w:val="003B05DB"/>
    <w:rsid w:val="003B79E7"/>
    <w:rsid w:val="003D272F"/>
    <w:rsid w:val="003F7AD5"/>
    <w:rsid w:val="0040474A"/>
    <w:rsid w:val="004069CE"/>
    <w:rsid w:val="0041142C"/>
    <w:rsid w:val="00414BD8"/>
    <w:rsid w:val="00415137"/>
    <w:rsid w:val="00425D23"/>
    <w:rsid w:val="00440AEB"/>
    <w:rsid w:val="00444FA1"/>
    <w:rsid w:val="00446B53"/>
    <w:rsid w:val="00450922"/>
    <w:rsid w:val="00472FC1"/>
    <w:rsid w:val="00496639"/>
    <w:rsid w:val="00496D2F"/>
    <w:rsid w:val="004A4726"/>
    <w:rsid w:val="004B34AD"/>
    <w:rsid w:val="004C0EE4"/>
    <w:rsid w:val="004C2BF7"/>
    <w:rsid w:val="004C583B"/>
    <w:rsid w:val="004D1447"/>
    <w:rsid w:val="004F3C73"/>
    <w:rsid w:val="004F54D7"/>
    <w:rsid w:val="00504C8A"/>
    <w:rsid w:val="0050663A"/>
    <w:rsid w:val="00513C04"/>
    <w:rsid w:val="00514E59"/>
    <w:rsid w:val="00521182"/>
    <w:rsid w:val="00523610"/>
    <w:rsid w:val="005264E3"/>
    <w:rsid w:val="005353AF"/>
    <w:rsid w:val="00554D9C"/>
    <w:rsid w:val="0055537A"/>
    <w:rsid w:val="005652DA"/>
    <w:rsid w:val="005652EE"/>
    <w:rsid w:val="0057380B"/>
    <w:rsid w:val="005A2F43"/>
    <w:rsid w:val="005A3B74"/>
    <w:rsid w:val="005A7FA7"/>
    <w:rsid w:val="005B0938"/>
    <w:rsid w:val="005B6182"/>
    <w:rsid w:val="005C6546"/>
    <w:rsid w:val="005D54EB"/>
    <w:rsid w:val="005F4EDD"/>
    <w:rsid w:val="00621BE6"/>
    <w:rsid w:val="0064005F"/>
    <w:rsid w:val="00667930"/>
    <w:rsid w:val="006714E6"/>
    <w:rsid w:val="00671F81"/>
    <w:rsid w:val="006729F3"/>
    <w:rsid w:val="00691335"/>
    <w:rsid w:val="006A7F7F"/>
    <w:rsid w:val="006B7758"/>
    <w:rsid w:val="006E1FC3"/>
    <w:rsid w:val="006F1E1F"/>
    <w:rsid w:val="00703E3D"/>
    <w:rsid w:val="00713689"/>
    <w:rsid w:val="007445B1"/>
    <w:rsid w:val="00744796"/>
    <w:rsid w:val="00751503"/>
    <w:rsid w:val="00757B48"/>
    <w:rsid w:val="007643A6"/>
    <w:rsid w:val="007738FC"/>
    <w:rsid w:val="00780D6F"/>
    <w:rsid w:val="00791B04"/>
    <w:rsid w:val="007A427B"/>
    <w:rsid w:val="007B35BE"/>
    <w:rsid w:val="007E0CCF"/>
    <w:rsid w:val="007E219D"/>
    <w:rsid w:val="007E5E3A"/>
    <w:rsid w:val="007F17F3"/>
    <w:rsid w:val="008075AA"/>
    <w:rsid w:val="008368D3"/>
    <w:rsid w:val="00850796"/>
    <w:rsid w:val="00861691"/>
    <w:rsid w:val="008622A8"/>
    <w:rsid w:val="0086784A"/>
    <w:rsid w:val="008873AA"/>
    <w:rsid w:val="008933FB"/>
    <w:rsid w:val="008B694A"/>
    <w:rsid w:val="008C1009"/>
    <w:rsid w:val="00911A4F"/>
    <w:rsid w:val="00935396"/>
    <w:rsid w:val="009453BB"/>
    <w:rsid w:val="00956FFB"/>
    <w:rsid w:val="00985B08"/>
    <w:rsid w:val="00985F3F"/>
    <w:rsid w:val="009861D2"/>
    <w:rsid w:val="009971E9"/>
    <w:rsid w:val="009B1EC3"/>
    <w:rsid w:val="009C537C"/>
    <w:rsid w:val="009D6789"/>
    <w:rsid w:val="009D67DD"/>
    <w:rsid w:val="009E6B82"/>
    <w:rsid w:val="009F2794"/>
    <w:rsid w:val="009F7236"/>
    <w:rsid w:val="00A140C4"/>
    <w:rsid w:val="00A17033"/>
    <w:rsid w:val="00A17DB0"/>
    <w:rsid w:val="00A33116"/>
    <w:rsid w:val="00A55564"/>
    <w:rsid w:val="00A849C2"/>
    <w:rsid w:val="00AA0804"/>
    <w:rsid w:val="00AA4360"/>
    <w:rsid w:val="00AA4DCE"/>
    <w:rsid w:val="00AE70BC"/>
    <w:rsid w:val="00B03B10"/>
    <w:rsid w:val="00B17461"/>
    <w:rsid w:val="00B25D20"/>
    <w:rsid w:val="00B40CB6"/>
    <w:rsid w:val="00B43548"/>
    <w:rsid w:val="00B47401"/>
    <w:rsid w:val="00BA4ECC"/>
    <w:rsid w:val="00BA7347"/>
    <w:rsid w:val="00BC21A7"/>
    <w:rsid w:val="00BD7B62"/>
    <w:rsid w:val="00BF0CD8"/>
    <w:rsid w:val="00BF4705"/>
    <w:rsid w:val="00BF53F6"/>
    <w:rsid w:val="00C05ED0"/>
    <w:rsid w:val="00C269B1"/>
    <w:rsid w:val="00C46022"/>
    <w:rsid w:val="00C50E49"/>
    <w:rsid w:val="00C978D5"/>
    <w:rsid w:val="00CD2C4D"/>
    <w:rsid w:val="00CE238D"/>
    <w:rsid w:val="00CE4E35"/>
    <w:rsid w:val="00CF7F9B"/>
    <w:rsid w:val="00D26516"/>
    <w:rsid w:val="00D33117"/>
    <w:rsid w:val="00D33D89"/>
    <w:rsid w:val="00D404CF"/>
    <w:rsid w:val="00D44271"/>
    <w:rsid w:val="00D65666"/>
    <w:rsid w:val="00D667E0"/>
    <w:rsid w:val="00D67E00"/>
    <w:rsid w:val="00D9550C"/>
    <w:rsid w:val="00DD56B9"/>
    <w:rsid w:val="00E01AD5"/>
    <w:rsid w:val="00E02101"/>
    <w:rsid w:val="00E0558B"/>
    <w:rsid w:val="00E071CA"/>
    <w:rsid w:val="00E11C90"/>
    <w:rsid w:val="00E37D2D"/>
    <w:rsid w:val="00E95BED"/>
    <w:rsid w:val="00EB341F"/>
    <w:rsid w:val="00EC1A4B"/>
    <w:rsid w:val="00EC632B"/>
    <w:rsid w:val="00EF68E5"/>
    <w:rsid w:val="00EF7A78"/>
    <w:rsid w:val="00F04849"/>
    <w:rsid w:val="00F05ED7"/>
    <w:rsid w:val="00F12668"/>
    <w:rsid w:val="00F12B93"/>
    <w:rsid w:val="00F269D5"/>
    <w:rsid w:val="00F311DD"/>
    <w:rsid w:val="00F34E08"/>
    <w:rsid w:val="00F40A12"/>
    <w:rsid w:val="00F41466"/>
    <w:rsid w:val="00F80F50"/>
    <w:rsid w:val="00F90A2B"/>
    <w:rsid w:val="00FB4E28"/>
    <w:rsid w:val="00FC1DC0"/>
    <w:rsid w:val="00FC4CEE"/>
    <w:rsid w:val="00FE1FD9"/>
    <w:rsid w:val="00FE4199"/>
    <w:rsid w:val="00FF3F2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6382"/>
  <w15:chartTrackingRefBased/>
  <w15:docId w15:val="{2A4499A6-2CE3-EB41-866E-1B0B5743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5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4C5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9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064C53"/>
    <w:rPr>
      <w:rFonts w:ascii="Times New Roman" w:eastAsia="Times New Roman" w:hAnsi="Times New Roman" w:cs="Times New Roman"/>
      <w:b/>
      <w:bCs/>
      <w:sz w:val="36"/>
      <w:szCs w:val="36"/>
      <w:lang w:eastAsia="en-IE"/>
    </w:rPr>
  </w:style>
  <w:style w:type="character" w:customStyle="1" w:styleId="css-901oao">
    <w:name w:val="css-901oao"/>
    <w:basedOn w:val="DefaultParagraphFont"/>
    <w:rsid w:val="0027755E"/>
  </w:style>
  <w:style w:type="paragraph" w:styleId="FootnoteText">
    <w:name w:val="footnote text"/>
    <w:basedOn w:val="Normal"/>
    <w:link w:val="FootnoteTextChar"/>
    <w:uiPriority w:val="99"/>
    <w:semiHidden/>
    <w:unhideWhenUsed/>
    <w:rsid w:val="00030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FFB"/>
    <w:rPr>
      <w:sz w:val="20"/>
      <w:szCs w:val="20"/>
    </w:rPr>
  </w:style>
  <w:style w:type="character" w:styleId="FootnoteReference">
    <w:name w:val="footnote reference"/>
    <w:basedOn w:val="DefaultParagraphFont"/>
    <w:uiPriority w:val="99"/>
    <w:semiHidden/>
    <w:unhideWhenUsed/>
    <w:rsid w:val="00030FFB"/>
    <w:rPr>
      <w:vertAlign w:val="superscript"/>
    </w:rPr>
  </w:style>
  <w:style w:type="paragraph" w:customStyle="1" w:styleId="graphic-subhead">
    <w:name w:val="graphic-subhead"/>
    <w:basedOn w:val="Normal"/>
    <w:rsid w:val="00030FF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graphic-timestamp">
    <w:name w:val="graphic-timestamp"/>
    <w:basedOn w:val="Normal"/>
    <w:rsid w:val="00030F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26516"/>
    <w:rPr>
      <w:color w:val="0000FF"/>
      <w:u w:val="single"/>
    </w:rPr>
  </w:style>
  <w:style w:type="character" w:customStyle="1" w:styleId="Heading1Char">
    <w:name w:val="Heading 1 Char"/>
    <w:basedOn w:val="DefaultParagraphFont"/>
    <w:link w:val="Heading1"/>
    <w:uiPriority w:val="9"/>
    <w:rsid w:val="00D2651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26516"/>
    <w:pPr>
      <w:spacing w:after="0" w:line="240" w:lineRule="auto"/>
    </w:pPr>
  </w:style>
  <w:style w:type="table" w:styleId="TableGrid">
    <w:name w:val="Table Grid"/>
    <w:basedOn w:val="TableNormal"/>
    <w:uiPriority w:val="39"/>
    <w:rsid w:val="00CE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7380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C2BF7"/>
    <w:pPr>
      <w:ind w:left="720"/>
      <w:contextualSpacing/>
    </w:pPr>
  </w:style>
  <w:style w:type="paragraph" w:styleId="BalloonText">
    <w:name w:val="Balloon Text"/>
    <w:basedOn w:val="Normal"/>
    <w:link w:val="BalloonTextChar"/>
    <w:uiPriority w:val="99"/>
    <w:semiHidden/>
    <w:unhideWhenUsed/>
    <w:rsid w:val="006913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3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1335"/>
    <w:rPr>
      <w:sz w:val="16"/>
      <w:szCs w:val="16"/>
    </w:rPr>
  </w:style>
  <w:style w:type="paragraph" w:styleId="CommentText">
    <w:name w:val="annotation text"/>
    <w:basedOn w:val="Normal"/>
    <w:link w:val="CommentTextChar"/>
    <w:uiPriority w:val="99"/>
    <w:unhideWhenUsed/>
    <w:rsid w:val="00691335"/>
    <w:pPr>
      <w:spacing w:line="240" w:lineRule="auto"/>
    </w:pPr>
    <w:rPr>
      <w:sz w:val="20"/>
      <w:szCs w:val="20"/>
    </w:rPr>
  </w:style>
  <w:style w:type="character" w:customStyle="1" w:styleId="CommentTextChar">
    <w:name w:val="Comment Text Char"/>
    <w:basedOn w:val="DefaultParagraphFont"/>
    <w:link w:val="CommentText"/>
    <w:uiPriority w:val="99"/>
    <w:rsid w:val="00691335"/>
    <w:rPr>
      <w:sz w:val="20"/>
      <w:szCs w:val="20"/>
    </w:rPr>
  </w:style>
  <w:style w:type="paragraph" w:styleId="CommentSubject">
    <w:name w:val="annotation subject"/>
    <w:basedOn w:val="CommentText"/>
    <w:next w:val="CommentText"/>
    <w:link w:val="CommentSubjectChar"/>
    <w:uiPriority w:val="99"/>
    <w:semiHidden/>
    <w:unhideWhenUsed/>
    <w:rsid w:val="00691335"/>
    <w:rPr>
      <w:b/>
      <w:bCs/>
    </w:rPr>
  </w:style>
  <w:style w:type="character" w:customStyle="1" w:styleId="CommentSubjectChar">
    <w:name w:val="Comment Subject Char"/>
    <w:basedOn w:val="CommentTextChar"/>
    <w:link w:val="CommentSubject"/>
    <w:uiPriority w:val="99"/>
    <w:semiHidden/>
    <w:rsid w:val="00691335"/>
    <w:rPr>
      <w:b/>
      <w:bCs/>
      <w:sz w:val="20"/>
      <w:szCs w:val="20"/>
    </w:rPr>
  </w:style>
  <w:style w:type="character" w:styleId="UnresolvedMention">
    <w:name w:val="Unresolved Mention"/>
    <w:basedOn w:val="DefaultParagraphFont"/>
    <w:uiPriority w:val="99"/>
    <w:semiHidden/>
    <w:unhideWhenUsed/>
    <w:rsid w:val="005D54EB"/>
    <w:rPr>
      <w:color w:val="605E5C"/>
      <w:shd w:val="clear" w:color="auto" w:fill="E1DFDD"/>
    </w:rPr>
  </w:style>
  <w:style w:type="paragraph" w:styleId="Header">
    <w:name w:val="header"/>
    <w:basedOn w:val="Normal"/>
    <w:link w:val="HeaderChar"/>
    <w:uiPriority w:val="99"/>
    <w:unhideWhenUsed/>
    <w:rsid w:val="005D5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4EB"/>
  </w:style>
  <w:style w:type="paragraph" w:styleId="Footer">
    <w:name w:val="footer"/>
    <w:basedOn w:val="Normal"/>
    <w:link w:val="FooterChar"/>
    <w:uiPriority w:val="99"/>
    <w:unhideWhenUsed/>
    <w:rsid w:val="005D5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4EB"/>
  </w:style>
  <w:style w:type="character" w:styleId="FollowedHyperlink">
    <w:name w:val="FollowedHyperlink"/>
    <w:basedOn w:val="DefaultParagraphFont"/>
    <w:uiPriority w:val="99"/>
    <w:semiHidden/>
    <w:unhideWhenUsed/>
    <w:rsid w:val="009F7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1252">
      <w:bodyDiv w:val="1"/>
      <w:marLeft w:val="0"/>
      <w:marRight w:val="0"/>
      <w:marTop w:val="0"/>
      <w:marBottom w:val="0"/>
      <w:divBdr>
        <w:top w:val="none" w:sz="0" w:space="0" w:color="auto"/>
        <w:left w:val="none" w:sz="0" w:space="0" w:color="auto"/>
        <w:bottom w:val="none" w:sz="0" w:space="0" w:color="auto"/>
        <w:right w:val="none" w:sz="0" w:space="0" w:color="auto"/>
      </w:divBdr>
    </w:div>
    <w:div w:id="98716845">
      <w:bodyDiv w:val="1"/>
      <w:marLeft w:val="0"/>
      <w:marRight w:val="0"/>
      <w:marTop w:val="0"/>
      <w:marBottom w:val="0"/>
      <w:divBdr>
        <w:top w:val="none" w:sz="0" w:space="0" w:color="auto"/>
        <w:left w:val="none" w:sz="0" w:space="0" w:color="auto"/>
        <w:bottom w:val="none" w:sz="0" w:space="0" w:color="auto"/>
        <w:right w:val="none" w:sz="0" w:space="0" w:color="auto"/>
      </w:divBdr>
    </w:div>
    <w:div w:id="126316606">
      <w:bodyDiv w:val="1"/>
      <w:marLeft w:val="0"/>
      <w:marRight w:val="0"/>
      <w:marTop w:val="0"/>
      <w:marBottom w:val="0"/>
      <w:divBdr>
        <w:top w:val="none" w:sz="0" w:space="0" w:color="auto"/>
        <w:left w:val="none" w:sz="0" w:space="0" w:color="auto"/>
        <w:bottom w:val="none" w:sz="0" w:space="0" w:color="auto"/>
        <w:right w:val="none" w:sz="0" w:space="0" w:color="auto"/>
      </w:divBdr>
    </w:div>
    <w:div w:id="132718495">
      <w:bodyDiv w:val="1"/>
      <w:marLeft w:val="0"/>
      <w:marRight w:val="0"/>
      <w:marTop w:val="0"/>
      <w:marBottom w:val="0"/>
      <w:divBdr>
        <w:top w:val="none" w:sz="0" w:space="0" w:color="auto"/>
        <w:left w:val="none" w:sz="0" w:space="0" w:color="auto"/>
        <w:bottom w:val="none" w:sz="0" w:space="0" w:color="auto"/>
        <w:right w:val="none" w:sz="0" w:space="0" w:color="auto"/>
      </w:divBdr>
    </w:div>
    <w:div w:id="182061360">
      <w:bodyDiv w:val="1"/>
      <w:marLeft w:val="0"/>
      <w:marRight w:val="0"/>
      <w:marTop w:val="0"/>
      <w:marBottom w:val="0"/>
      <w:divBdr>
        <w:top w:val="none" w:sz="0" w:space="0" w:color="auto"/>
        <w:left w:val="none" w:sz="0" w:space="0" w:color="auto"/>
        <w:bottom w:val="none" w:sz="0" w:space="0" w:color="auto"/>
        <w:right w:val="none" w:sz="0" w:space="0" w:color="auto"/>
      </w:divBdr>
    </w:div>
    <w:div w:id="309871529">
      <w:bodyDiv w:val="1"/>
      <w:marLeft w:val="0"/>
      <w:marRight w:val="0"/>
      <w:marTop w:val="0"/>
      <w:marBottom w:val="0"/>
      <w:divBdr>
        <w:top w:val="none" w:sz="0" w:space="0" w:color="auto"/>
        <w:left w:val="none" w:sz="0" w:space="0" w:color="auto"/>
        <w:bottom w:val="none" w:sz="0" w:space="0" w:color="auto"/>
        <w:right w:val="none" w:sz="0" w:space="0" w:color="auto"/>
      </w:divBdr>
    </w:div>
    <w:div w:id="524562542">
      <w:bodyDiv w:val="1"/>
      <w:marLeft w:val="0"/>
      <w:marRight w:val="0"/>
      <w:marTop w:val="0"/>
      <w:marBottom w:val="0"/>
      <w:divBdr>
        <w:top w:val="none" w:sz="0" w:space="0" w:color="auto"/>
        <w:left w:val="none" w:sz="0" w:space="0" w:color="auto"/>
        <w:bottom w:val="none" w:sz="0" w:space="0" w:color="auto"/>
        <w:right w:val="none" w:sz="0" w:space="0" w:color="auto"/>
      </w:divBdr>
    </w:div>
    <w:div w:id="618149735">
      <w:bodyDiv w:val="1"/>
      <w:marLeft w:val="0"/>
      <w:marRight w:val="0"/>
      <w:marTop w:val="0"/>
      <w:marBottom w:val="0"/>
      <w:divBdr>
        <w:top w:val="none" w:sz="0" w:space="0" w:color="auto"/>
        <w:left w:val="none" w:sz="0" w:space="0" w:color="auto"/>
        <w:bottom w:val="none" w:sz="0" w:space="0" w:color="auto"/>
        <w:right w:val="none" w:sz="0" w:space="0" w:color="auto"/>
      </w:divBdr>
    </w:div>
    <w:div w:id="713895517">
      <w:bodyDiv w:val="1"/>
      <w:marLeft w:val="0"/>
      <w:marRight w:val="0"/>
      <w:marTop w:val="0"/>
      <w:marBottom w:val="0"/>
      <w:divBdr>
        <w:top w:val="none" w:sz="0" w:space="0" w:color="auto"/>
        <w:left w:val="none" w:sz="0" w:space="0" w:color="auto"/>
        <w:bottom w:val="none" w:sz="0" w:space="0" w:color="auto"/>
        <w:right w:val="none" w:sz="0" w:space="0" w:color="auto"/>
      </w:divBdr>
      <w:divsChild>
        <w:div w:id="41901644">
          <w:marLeft w:val="0"/>
          <w:marRight w:val="0"/>
          <w:marTop w:val="0"/>
          <w:marBottom w:val="0"/>
          <w:divBdr>
            <w:top w:val="single" w:sz="2" w:space="0" w:color="000000"/>
            <w:left w:val="single" w:sz="2" w:space="0" w:color="000000"/>
            <w:bottom w:val="single" w:sz="2" w:space="0" w:color="000000"/>
            <w:right w:val="single" w:sz="2" w:space="0" w:color="000000"/>
          </w:divBdr>
        </w:div>
        <w:div w:id="401408708">
          <w:marLeft w:val="0"/>
          <w:marRight w:val="0"/>
          <w:marTop w:val="0"/>
          <w:marBottom w:val="0"/>
          <w:divBdr>
            <w:top w:val="single" w:sz="2" w:space="0" w:color="000000"/>
            <w:left w:val="single" w:sz="2" w:space="0" w:color="000000"/>
            <w:bottom w:val="single" w:sz="2" w:space="0" w:color="000000"/>
            <w:right w:val="single" w:sz="2" w:space="0" w:color="000000"/>
          </w:divBdr>
        </w:div>
        <w:div w:id="594484984">
          <w:marLeft w:val="0"/>
          <w:marRight w:val="0"/>
          <w:marTop w:val="0"/>
          <w:marBottom w:val="0"/>
          <w:divBdr>
            <w:top w:val="single" w:sz="2" w:space="0" w:color="000000"/>
            <w:left w:val="single" w:sz="2" w:space="0" w:color="000000"/>
            <w:bottom w:val="single" w:sz="2" w:space="0" w:color="000000"/>
            <w:right w:val="single" w:sz="2" w:space="0" w:color="000000"/>
          </w:divBdr>
        </w:div>
        <w:div w:id="758908121">
          <w:marLeft w:val="0"/>
          <w:marRight w:val="0"/>
          <w:marTop w:val="0"/>
          <w:marBottom w:val="0"/>
          <w:divBdr>
            <w:top w:val="single" w:sz="2" w:space="0" w:color="000000"/>
            <w:left w:val="single" w:sz="2" w:space="0" w:color="000000"/>
            <w:bottom w:val="single" w:sz="2" w:space="0" w:color="000000"/>
            <w:right w:val="single" w:sz="2" w:space="0" w:color="000000"/>
          </w:divBdr>
        </w:div>
        <w:div w:id="1745300557">
          <w:marLeft w:val="0"/>
          <w:marRight w:val="0"/>
          <w:marTop w:val="0"/>
          <w:marBottom w:val="0"/>
          <w:divBdr>
            <w:top w:val="single" w:sz="2" w:space="0" w:color="000000"/>
            <w:left w:val="single" w:sz="2" w:space="0" w:color="000000"/>
            <w:bottom w:val="single" w:sz="2" w:space="0" w:color="000000"/>
            <w:right w:val="single" w:sz="2" w:space="0" w:color="000000"/>
          </w:divBdr>
        </w:div>
        <w:div w:id="1872450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2376931">
      <w:bodyDiv w:val="1"/>
      <w:marLeft w:val="0"/>
      <w:marRight w:val="0"/>
      <w:marTop w:val="0"/>
      <w:marBottom w:val="0"/>
      <w:divBdr>
        <w:top w:val="none" w:sz="0" w:space="0" w:color="auto"/>
        <w:left w:val="none" w:sz="0" w:space="0" w:color="auto"/>
        <w:bottom w:val="none" w:sz="0" w:space="0" w:color="auto"/>
        <w:right w:val="none" w:sz="0" w:space="0" w:color="auto"/>
      </w:divBdr>
    </w:div>
    <w:div w:id="1241674781">
      <w:bodyDiv w:val="1"/>
      <w:marLeft w:val="0"/>
      <w:marRight w:val="0"/>
      <w:marTop w:val="0"/>
      <w:marBottom w:val="0"/>
      <w:divBdr>
        <w:top w:val="none" w:sz="0" w:space="0" w:color="auto"/>
        <w:left w:val="none" w:sz="0" w:space="0" w:color="auto"/>
        <w:bottom w:val="none" w:sz="0" w:space="0" w:color="auto"/>
        <w:right w:val="none" w:sz="0" w:space="0" w:color="auto"/>
      </w:divBdr>
    </w:div>
    <w:div w:id="1298877774">
      <w:bodyDiv w:val="1"/>
      <w:marLeft w:val="0"/>
      <w:marRight w:val="0"/>
      <w:marTop w:val="0"/>
      <w:marBottom w:val="0"/>
      <w:divBdr>
        <w:top w:val="none" w:sz="0" w:space="0" w:color="auto"/>
        <w:left w:val="none" w:sz="0" w:space="0" w:color="auto"/>
        <w:bottom w:val="none" w:sz="0" w:space="0" w:color="auto"/>
        <w:right w:val="none" w:sz="0" w:space="0" w:color="auto"/>
      </w:divBdr>
    </w:div>
    <w:div w:id="1414468358">
      <w:bodyDiv w:val="1"/>
      <w:marLeft w:val="0"/>
      <w:marRight w:val="0"/>
      <w:marTop w:val="0"/>
      <w:marBottom w:val="0"/>
      <w:divBdr>
        <w:top w:val="none" w:sz="0" w:space="0" w:color="auto"/>
        <w:left w:val="none" w:sz="0" w:space="0" w:color="auto"/>
        <w:bottom w:val="none" w:sz="0" w:space="0" w:color="auto"/>
        <w:right w:val="none" w:sz="0" w:space="0" w:color="auto"/>
      </w:divBdr>
    </w:div>
    <w:div w:id="1458181680">
      <w:bodyDiv w:val="1"/>
      <w:marLeft w:val="0"/>
      <w:marRight w:val="0"/>
      <w:marTop w:val="0"/>
      <w:marBottom w:val="0"/>
      <w:divBdr>
        <w:top w:val="none" w:sz="0" w:space="0" w:color="auto"/>
        <w:left w:val="none" w:sz="0" w:space="0" w:color="auto"/>
        <w:bottom w:val="none" w:sz="0" w:space="0" w:color="auto"/>
        <w:right w:val="none" w:sz="0" w:space="0" w:color="auto"/>
      </w:divBdr>
      <w:divsChild>
        <w:div w:id="189806515">
          <w:marLeft w:val="-225"/>
          <w:marRight w:val="-225"/>
          <w:marTop w:val="0"/>
          <w:marBottom w:val="0"/>
          <w:divBdr>
            <w:top w:val="none" w:sz="0" w:space="0" w:color="auto"/>
            <w:left w:val="none" w:sz="0" w:space="0" w:color="auto"/>
            <w:bottom w:val="none" w:sz="0" w:space="0" w:color="auto"/>
            <w:right w:val="none" w:sz="0" w:space="0" w:color="auto"/>
          </w:divBdr>
          <w:divsChild>
            <w:div w:id="1656765174">
              <w:marLeft w:val="0"/>
              <w:marRight w:val="0"/>
              <w:marTop w:val="0"/>
              <w:marBottom w:val="0"/>
              <w:divBdr>
                <w:top w:val="none" w:sz="0" w:space="0" w:color="auto"/>
                <w:left w:val="none" w:sz="0" w:space="0" w:color="auto"/>
                <w:bottom w:val="none" w:sz="0" w:space="0" w:color="auto"/>
                <w:right w:val="none" w:sz="0" w:space="0" w:color="auto"/>
              </w:divBdr>
            </w:div>
          </w:divsChild>
        </w:div>
        <w:div w:id="1935895953">
          <w:marLeft w:val="-225"/>
          <w:marRight w:val="-225"/>
          <w:marTop w:val="0"/>
          <w:marBottom w:val="0"/>
          <w:divBdr>
            <w:top w:val="none" w:sz="0" w:space="0" w:color="auto"/>
            <w:left w:val="none" w:sz="0" w:space="0" w:color="auto"/>
            <w:bottom w:val="none" w:sz="0" w:space="0" w:color="auto"/>
            <w:right w:val="none" w:sz="0" w:space="0" w:color="auto"/>
          </w:divBdr>
        </w:div>
        <w:div w:id="2132358403">
          <w:marLeft w:val="-225"/>
          <w:marRight w:val="-225"/>
          <w:marTop w:val="0"/>
          <w:marBottom w:val="0"/>
          <w:divBdr>
            <w:top w:val="none" w:sz="0" w:space="0" w:color="auto"/>
            <w:left w:val="none" w:sz="0" w:space="0" w:color="auto"/>
            <w:bottom w:val="none" w:sz="0" w:space="0" w:color="auto"/>
            <w:right w:val="none" w:sz="0" w:space="0" w:color="auto"/>
          </w:divBdr>
        </w:div>
      </w:divsChild>
    </w:div>
    <w:div w:id="1513913065">
      <w:bodyDiv w:val="1"/>
      <w:marLeft w:val="0"/>
      <w:marRight w:val="0"/>
      <w:marTop w:val="0"/>
      <w:marBottom w:val="0"/>
      <w:divBdr>
        <w:top w:val="none" w:sz="0" w:space="0" w:color="auto"/>
        <w:left w:val="none" w:sz="0" w:space="0" w:color="auto"/>
        <w:bottom w:val="none" w:sz="0" w:space="0" w:color="auto"/>
        <w:right w:val="none" w:sz="0" w:space="0" w:color="auto"/>
      </w:divBdr>
    </w:div>
    <w:div w:id="1654797078">
      <w:bodyDiv w:val="1"/>
      <w:marLeft w:val="0"/>
      <w:marRight w:val="0"/>
      <w:marTop w:val="0"/>
      <w:marBottom w:val="0"/>
      <w:divBdr>
        <w:top w:val="none" w:sz="0" w:space="0" w:color="auto"/>
        <w:left w:val="none" w:sz="0" w:space="0" w:color="auto"/>
        <w:bottom w:val="none" w:sz="0" w:space="0" w:color="auto"/>
        <w:right w:val="none" w:sz="0" w:space="0" w:color="auto"/>
      </w:divBdr>
    </w:div>
    <w:div w:id="1663662309">
      <w:bodyDiv w:val="1"/>
      <w:marLeft w:val="0"/>
      <w:marRight w:val="0"/>
      <w:marTop w:val="0"/>
      <w:marBottom w:val="0"/>
      <w:divBdr>
        <w:top w:val="none" w:sz="0" w:space="0" w:color="auto"/>
        <w:left w:val="none" w:sz="0" w:space="0" w:color="auto"/>
        <w:bottom w:val="none" w:sz="0" w:space="0" w:color="auto"/>
        <w:right w:val="none" w:sz="0" w:space="0" w:color="auto"/>
      </w:divBdr>
    </w:div>
    <w:div w:id="1835604238">
      <w:bodyDiv w:val="1"/>
      <w:marLeft w:val="0"/>
      <w:marRight w:val="0"/>
      <w:marTop w:val="0"/>
      <w:marBottom w:val="0"/>
      <w:divBdr>
        <w:top w:val="none" w:sz="0" w:space="0" w:color="auto"/>
        <w:left w:val="none" w:sz="0" w:space="0" w:color="auto"/>
        <w:bottom w:val="none" w:sz="0" w:space="0" w:color="auto"/>
        <w:right w:val="none" w:sz="0" w:space="0" w:color="auto"/>
      </w:divBdr>
    </w:div>
    <w:div w:id="1897741010">
      <w:bodyDiv w:val="1"/>
      <w:marLeft w:val="0"/>
      <w:marRight w:val="0"/>
      <w:marTop w:val="0"/>
      <w:marBottom w:val="0"/>
      <w:divBdr>
        <w:top w:val="none" w:sz="0" w:space="0" w:color="auto"/>
        <w:left w:val="none" w:sz="0" w:space="0" w:color="auto"/>
        <w:bottom w:val="none" w:sz="0" w:space="0" w:color="auto"/>
        <w:right w:val="none" w:sz="0" w:space="0" w:color="auto"/>
      </w:divBdr>
    </w:div>
    <w:div w:id="1951273689">
      <w:bodyDiv w:val="1"/>
      <w:marLeft w:val="0"/>
      <w:marRight w:val="0"/>
      <w:marTop w:val="0"/>
      <w:marBottom w:val="0"/>
      <w:divBdr>
        <w:top w:val="none" w:sz="0" w:space="0" w:color="auto"/>
        <w:left w:val="none" w:sz="0" w:space="0" w:color="auto"/>
        <w:bottom w:val="none" w:sz="0" w:space="0" w:color="auto"/>
        <w:right w:val="none" w:sz="0" w:space="0" w:color="auto"/>
      </w:divBdr>
    </w:div>
    <w:div w:id="1977836095">
      <w:bodyDiv w:val="1"/>
      <w:marLeft w:val="0"/>
      <w:marRight w:val="0"/>
      <w:marTop w:val="0"/>
      <w:marBottom w:val="0"/>
      <w:divBdr>
        <w:top w:val="none" w:sz="0" w:space="0" w:color="auto"/>
        <w:left w:val="none" w:sz="0" w:space="0" w:color="auto"/>
        <w:bottom w:val="none" w:sz="0" w:space="0" w:color="auto"/>
        <w:right w:val="none" w:sz="0" w:space="0" w:color="auto"/>
      </w:divBdr>
      <w:divsChild>
        <w:div w:id="703673090">
          <w:marLeft w:val="0"/>
          <w:marRight w:val="0"/>
          <w:marTop w:val="190"/>
          <w:marBottom w:val="0"/>
          <w:divBdr>
            <w:top w:val="none" w:sz="0" w:space="0" w:color="auto"/>
            <w:left w:val="none" w:sz="0" w:space="0" w:color="auto"/>
            <w:bottom w:val="none" w:sz="0" w:space="0" w:color="auto"/>
            <w:right w:val="none" w:sz="0" w:space="0" w:color="auto"/>
          </w:divBdr>
        </w:div>
        <w:div w:id="1331444317">
          <w:marLeft w:val="0"/>
          <w:marRight w:val="0"/>
          <w:marTop w:val="0"/>
          <w:marBottom w:val="0"/>
          <w:divBdr>
            <w:top w:val="none" w:sz="0" w:space="0" w:color="auto"/>
            <w:left w:val="none" w:sz="0" w:space="0" w:color="auto"/>
            <w:bottom w:val="none" w:sz="0" w:space="0" w:color="auto"/>
            <w:right w:val="none" w:sz="0" w:space="0" w:color="auto"/>
          </w:divBdr>
          <w:divsChild>
            <w:div w:id="2056736005">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 w:id="2049065304">
      <w:bodyDiv w:val="1"/>
      <w:marLeft w:val="0"/>
      <w:marRight w:val="0"/>
      <w:marTop w:val="0"/>
      <w:marBottom w:val="0"/>
      <w:divBdr>
        <w:top w:val="none" w:sz="0" w:space="0" w:color="auto"/>
        <w:left w:val="none" w:sz="0" w:space="0" w:color="auto"/>
        <w:bottom w:val="none" w:sz="0" w:space="0" w:color="auto"/>
        <w:right w:val="none" w:sz="0" w:space="0" w:color="auto"/>
      </w:divBdr>
    </w:div>
    <w:div w:id="20539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ello@standardrisk.com" TargetMode="External"/><Relationship Id="rId1" Type="http://schemas.openxmlformats.org/officeDocument/2006/relationships/hyperlink" Target="http://www.standardrisk.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iu.com/public/topical_report.aspx?campaignid=democracyindex2019" TargetMode="External"/><Relationship Id="rId1" Type="http://schemas.openxmlformats.org/officeDocument/2006/relationships/hyperlink" Target="https://www.bsg.ox.ac.uk/research/research-projects/coronavirus-government-response-trac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488F-ECC9-974C-9335-35C2873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Far</dc:creator>
  <cp:keywords/>
  <dc:description/>
  <cp:lastModifiedBy>Aisling Sweeney</cp:lastModifiedBy>
  <cp:revision>2</cp:revision>
  <cp:lastPrinted>2020-04-24T14:11:00Z</cp:lastPrinted>
  <dcterms:created xsi:type="dcterms:W3CDTF">2020-05-19T08:38:00Z</dcterms:created>
  <dcterms:modified xsi:type="dcterms:W3CDTF">2020-05-19T08:38:00Z</dcterms:modified>
</cp:coreProperties>
</file>